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5F6BC" w14:textId="2A69F612" w:rsidR="00505899" w:rsidRPr="00CE4480" w:rsidRDefault="00505899" w:rsidP="00602B08">
      <w:pPr>
        <w:pStyle w:val="Header"/>
        <w:rPr>
          <w:rFonts w:ascii="Arial" w:hAnsi="Arial" w:cs="Arial"/>
          <w:b/>
          <w:bCs/>
          <w:sz w:val="24"/>
          <w:szCs w:val="24"/>
        </w:rPr>
      </w:pPr>
      <w:r w:rsidRPr="00CE4480">
        <w:rPr>
          <w:rFonts w:ascii="Arial" w:hAnsi="Arial" w:cs="Arial"/>
          <w:b/>
          <w:bCs/>
          <w:sz w:val="24"/>
          <w:szCs w:val="24"/>
        </w:rPr>
        <w:t>3GPP TSG-RAN WG2 Meeting #12</w:t>
      </w:r>
      <w:r w:rsidR="00FA0019">
        <w:rPr>
          <w:rFonts w:ascii="Arial" w:hAnsi="Arial" w:cs="Arial"/>
          <w:b/>
          <w:bCs/>
          <w:sz w:val="24"/>
          <w:szCs w:val="24"/>
        </w:rPr>
        <w:t>2</w:t>
      </w:r>
      <w:r w:rsidR="00602B08">
        <w:rPr>
          <w:rFonts w:ascii="Arial" w:hAnsi="Arial" w:cs="Arial"/>
          <w:b/>
          <w:bCs/>
          <w:sz w:val="24"/>
          <w:szCs w:val="24"/>
        </w:rPr>
        <w:t xml:space="preserve">                                              </w:t>
      </w:r>
      <w:r w:rsidR="00FA0019">
        <w:rPr>
          <w:rFonts w:ascii="Arial" w:hAnsi="Arial" w:cs="Arial"/>
          <w:b/>
          <w:bCs/>
          <w:sz w:val="24"/>
          <w:szCs w:val="24"/>
        </w:rPr>
        <w:tab/>
        <w:t xml:space="preserve">          </w:t>
      </w:r>
      <w:r w:rsidR="00590FA4" w:rsidRPr="00590FA4">
        <w:rPr>
          <w:rStyle w:val="ui-provider"/>
          <w:rFonts w:ascii="Arial" w:hAnsi="Arial" w:cs="Arial"/>
          <w:b/>
          <w:bCs/>
          <w:sz w:val="24"/>
          <w:szCs w:val="24"/>
        </w:rPr>
        <w:t>R2-2305516</w:t>
      </w:r>
    </w:p>
    <w:p w14:paraId="1EF78209" w14:textId="68560F5D" w:rsidR="00505899" w:rsidRPr="00FE3A77" w:rsidRDefault="00F1144F" w:rsidP="00505899">
      <w:pPr>
        <w:pStyle w:val="Header"/>
        <w:rPr>
          <w:rFonts w:ascii="Arial" w:hAnsi="Arial" w:cs="Arial"/>
          <w:b/>
          <w:i/>
          <w:iCs/>
          <w:sz w:val="20"/>
        </w:rPr>
      </w:pPr>
      <w:r w:rsidRPr="00FE3A77">
        <w:rPr>
          <w:rFonts w:ascii="Arial" w:hAnsi="Arial" w:cs="Arial"/>
          <w:b/>
          <w:i/>
          <w:iCs/>
          <w:sz w:val="20"/>
        </w:rPr>
        <w:t xml:space="preserve">Incheon, </w:t>
      </w:r>
      <w:r w:rsidR="00AE7711">
        <w:rPr>
          <w:rFonts w:ascii="Arial" w:hAnsi="Arial" w:cs="Arial"/>
          <w:b/>
          <w:i/>
          <w:iCs/>
          <w:sz w:val="20"/>
        </w:rPr>
        <w:t xml:space="preserve">Republic of </w:t>
      </w:r>
      <w:r w:rsidRPr="00FE3A77">
        <w:rPr>
          <w:rFonts w:ascii="Arial" w:hAnsi="Arial" w:cs="Arial"/>
          <w:b/>
          <w:i/>
          <w:iCs/>
          <w:sz w:val="20"/>
        </w:rPr>
        <w:t>K</w:t>
      </w:r>
      <w:r w:rsidR="00AE7711">
        <w:rPr>
          <w:rFonts w:ascii="Arial" w:hAnsi="Arial" w:cs="Arial"/>
          <w:b/>
          <w:i/>
          <w:iCs/>
          <w:sz w:val="20"/>
        </w:rPr>
        <w:t>orea</w:t>
      </w:r>
      <w:r w:rsidRPr="00FE3A77">
        <w:rPr>
          <w:rFonts w:ascii="Arial" w:hAnsi="Arial" w:cs="Arial"/>
          <w:b/>
          <w:i/>
          <w:iCs/>
          <w:sz w:val="20"/>
        </w:rPr>
        <w:t>, May</w:t>
      </w:r>
      <w:r w:rsidR="00505899" w:rsidRPr="00FE3A77">
        <w:rPr>
          <w:rFonts w:ascii="Arial" w:hAnsi="Arial" w:cs="Arial"/>
          <w:b/>
          <w:i/>
          <w:iCs/>
          <w:sz w:val="20"/>
        </w:rPr>
        <w:t xml:space="preserve"> </w:t>
      </w:r>
      <w:r w:rsidRPr="00FE3A77">
        <w:rPr>
          <w:rFonts w:ascii="Arial" w:hAnsi="Arial" w:cs="Arial"/>
          <w:b/>
          <w:i/>
          <w:iCs/>
          <w:sz w:val="20"/>
        </w:rPr>
        <w:t>22</w:t>
      </w:r>
      <w:r w:rsidR="00505899" w:rsidRPr="00FE3A77">
        <w:rPr>
          <w:rFonts w:ascii="Arial" w:hAnsi="Arial" w:cs="Arial"/>
          <w:b/>
          <w:i/>
          <w:iCs/>
          <w:sz w:val="20"/>
        </w:rPr>
        <w:t xml:space="preserve"> - 26, 2023</w:t>
      </w:r>
    </w:p>
    <w:p w14:paraId="5888A82E" w14:textId="77777777" w:rsidR="00855F39" w:rsidRPr="00CE4480" w:rsidRDefault="00855F39" w:rsidP="00855F39">
      <w:pPr>
        <w:pStyle w:val="CRCoverPage"/>
        <w:tabs>
          <w:tab w:val="right" w:pos="9639"/>
          <w:tab w:val="right" w:pos="13323"/>
        </w:tabs>
        <w:spacing w:after="0"/>
        <w:rPr>
          <w:rFonts w:cs="Arial"/>
          <w:b/>
          <w:sz w:val="24"/>
          <w:szCs w:val="24"/>
        </w:rPr>
      </w:pPr>
    </w:p>
    <w:p w14:paraId="0DA8D95C" w14:textId="3EA79544" w:rsidR="00855F39" w:rsidRPr="00CE4480" w:rsidRDefault="00723341" w:rsidP="00855F39">
      <w:pPr>
        <w:tabs>
          <w:tab w:val="left" w:pos="1800"/>
        </w:tabs>
        <w:spacing w:after="60"/>
        <w:rPr>
          <w:rFonts w:ascii="Arial" w:eastAsia="MS Mincho" w:hAnsi="Arial" w:cs="Arial"/>
          <w:b/>
          <w:lang w:val="en-US"/>
        </w:rPr>
      </w:pPr>
      <w:r w:rsidRPr="00CE4480">
        <w:rPr>
          <w:rFonts w:ascii="Arial" w:hAnsi="Arial" w:cs="Arial"/>
          <w:b/>
          <w:lang w:val="en-US"/>
        </w:rPr>
        <w:t>Agenda Item:</w:t>
      </w:r>
      <w:r w:rsidR="27D5C4C1" w:rsidRPr="00CE4480">
        <w:rPr>
          <w:rFonts w:ascii="Arial" w:hAnsi="Arial" w:cs="Arial"/>
          <w:b/>
          <w:bCs/>
          <w:lang w:val="en-US"/>
        </w:rPr>
        <w:t xml:space="preserve"> </w:t>
      </w:r>
      <w:r w:rsidRPr="00CE4480">
        <w:rPr>
          <w:rFonts w:ascii="Arial" w:hAnsi="Arial" w:cs="Arial"/>
          <w:b/>
          <w:lang w:val="en-US"/>
        </w:rPr>
        <w:tab/>
      </w:r>
      <w:r w:rsidR="00B21480" w:rsidRPr="00F03D1B">
        <w:rPr>
          <w:rFonts w:ascii="Arial" w:hAnsi="Arial" w:cs="Arial"/>
          <w:b/>
          <w:lang w:val="en-US"/>
        </w:rPr>
        <w:t>7</w:t>
      </w:r>
      <w:r w:rsidR="00361EEB" w:rsidRPr="00F03D1B">
        <w:rPr>
          <w:rFonts w:ascii="Arial" w:hAnsi="Arial" w:cs="Arial"/>
          <w:b/>
          <w:lang w:val="en-US"/>
        </w:rPr>
        <w:t>.</w:t>
      </w:r>
      <w:r w:rsidR="00772590" w:rsidRPr="00F03D1B">
        <w:rPr>
          <w:rFonts w:ascii="Arial" w:hAnsi="Arial" w:cs="Arial"/>
          <w:b/>
          <w:lang w:val="en-US"/>
        </w:rPr>
        <w:t>5.</w:t>
      </w:r>
      <w:r w:rsidR="00B21480" w:rsidRPr="00F03D1B">
        <w:rPr>
          <w:rFonts w:ascii="Arial" w:hAnsi="Arial" w:cs="Arial"/>
          <w:b/>
          <w:lang w:val="en-US"/>
        </w:rPr>
        <w:t>4</w:t>
      </w:r>
      <w:r w:rsidR="00DE6485" w:rsidRPr="00F03D1B">
        <w:rPr>
          <w:rFonts w:ascii="Arial" w:hAnsi="Arial" w:cs="Arial"/>
          <w:b/>
          <w:lang w:val="en-US"/>
        </w:rPr>
        <w:t>.</w:t>
      </w:r>
      <w:r w:rsidR="00B21480" w:rsidRPr="00F03D1B">
        <w:rPr>
          <w:rFonts w:ascii="Arial" w:hAnsi="Arial" w:cs="Arial"/>
          <w:b/>
          <w:lang w:val="en-US"/>
        </w:rPr>
        <w:t>3</w:t>
      </w:r>
    </w:p>
    <w:p w14:paraId="21A76070" w14:textId="77777777" w:rsidR="00855F39" w:rsidRPr="00CE4480" w:rsidRDefault="00855F39" w:rsidP="00855F39">
      <w:pPr>
        <w:tabs>
          <w:tab w:val="left" w:pos="1800"/>
        </w:tabs>
        <w:spacing w:after="60"/>
        <w:rPr>
          <w:rFonts w:ascii="Arial" w:hAnsi="Arial" w:cs="Arial"/>
          <w:b/>
          <w:lang w:val="en-US"/>
        </w:rPr>
      </w:pPr>
      <w:r w:rsidRPr="00CE4480">
        <w:rPr>
          <w:rFonts w:ascii="Arial" w:hAnsi="Arial" w:cs="Arial"/>
          <w:b/>
          <w:lang w:val="en-US"/>
        </w:rPr>
        <w:t xml:space="preserve">Source: </w:t>
      </w:r>
      <w:r w:rsidRPr="00CE4480">
        <w:rPr>
          <w:rFonts w:ascii="Arial" w:hAnsi="Arial" w:cs="Arial"/>
          <w:b/>
          <w:lang w:val="en-US"/>
        </w:rPr>
        <w:tab/>
        <w:t xml:space="preserve">Sony </w:t>
      </w:r>
    </w:p>
    <w:p w14:paraId="2D2B5D24" w14:textId="5BFCE12D" w:rsidR="00855F39" w:rsidRPr="00E10C93" w:rsidRDefault="00855F39" w:rsidP="00DA089B">
      <w:pPr>
        <w:tabs>
          <w:tab w:val="left" w:pos="1800"/>
        </w:tabs>
        <w:spacing w:after="60"/>
        <w:ind w:left="1800" w:hanging="1800"/>
        <w:rPr>
          <w:rFonts w:ascii="Arial" w:hAnsi="Arial" w:cs="Arial"/>
          <w:b/>
          <w:bCs/>
        </w:rPr>
      </w:pPr>
      <w:r w:rsidRPr="00CE4480">
        <w:rPr>
          <w:rFonts w:ascii="Arial" w:hAnsi="Arial" w:cs="Arial"/>
          <w:b/>
          <w:color w:val="000000"/>
          <w:lang w:val="en-US"/>
        </w:rPr>
        <w:t>Title:</w:t>
      </w:r>
      <w:r w:rsidR="042794BE" w:rsidRPr="00CE4480">
        <w:rPr>
          <w:rFonts w:ascii="Arial" w:hAnsi="Arial" w:cs="Arial"/>
          <w:b/>
          <w:bCs/>
          <w:color w:val="000000"/>
          <w:lang w:val="en-US"/>
        </w:rPr>
        <w:t xml:space="preserve"> </w:t>
      </w:r>
      <w:r w:rsidRPr="00CE4480">
        <w:rPr>
          <w:rFonts w:ascii="Arial" w:hAnsi="Arial" w:cs="Arial"/>
          <w:b/>
          <w:bCs/>
          <w:color w:val="000000"/>
          <w:lang w:val="en-US"/>
        </w:rPr>
        <w:tab/>
      </w:r>
      <w:r w:rsidR="00E10C93" w:rsidRPr="00E10C93">
        <w:rPr>
          <w:rFonts w:ascii="Arial" w:hAnsi="Arial" w:cs="Arial"/>
          <w:b/>
          <w:bCs/>
        </w:rPr>
        <w:t>Configured Grant enhancements for XR</w:t>
      </w:r>
    </w:p>
    <w:p w14:paraId="73A0E73F" w14:textId="5F4DCBDF" w:rsidR="00855F39" w:rsidRPr="00CE4480" w:rsidRDefault="00855F39" w:rsidP="00855F39">
      <w:pPr>
        <w:tabs>
          <w:tab w:val="left" w:pos="1800"/>
        </w:tabs>
        <w:spacing w:after="60"/>
        <w:rPr>
          <w:rFonts w:ascii="Arial" w:hAnsi="Arial" w:cs="Arial"/>
          <w:b/>
        </w:rPr>
      </w:pPr>
      <w:r w:rsidRPr="00CE4480">
        <w:rPr>
          <w:rFonts w:ascii="Arial" w:hAnsi="Arial" w:cs="Arial"/>
          <w:b/>
        </w:rPr>
        <w:t>Document for:</w:t>
      </w:r>
      <w:r w:rsidR="4D3A0645" w:rsidRPr="00CE4480">
        <w:rPr>
          <w:rFonts w:ascii="Arial" w:hAnsi="Arial" w:cs="Arial"/>
          <w:b/>
          <w:bCs/>
        </w:rPr>
        <w:t xml:space="preserve"> </w:t>
      </w:r>
      <w:r w:rsidRPr="00CE4480">
        <w:rPr>
          <w:rFonts w:ascii="Arial" w:hAnsi="Arial" w:cs="Arial"/>
          <w:b/>
        </w:rPr>
        <w:tab/>
        <w:t xml:space="preserve">Discussion / </w:t>
      </w:r>
      <w:r w:rsidR="00280B46" w:rsidRPr="00CE4480">
        <w:rPr>
          <w:rFonts w:ascii="Arial" w:hAnsi="Arial" w:cs="Arial"/>
          <w:b/>
        </w:rPr>
        <w:t>D</w:t>
      </w:r>
      <w:r w:rsidRPr="00CE4480">
        <w:rPr>
          <w:rFonts w:ascii="Arial" w:hAnsi="Arial" w:cs="Arial"/>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7E10A17" w14:textId="72BF6F8F" w:rsidR="007A128F" w:rsidRDefault="002A28D3" w:rsidP="007A128F">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294918">
        <w:t xml:space="preserve"> [2]</w:t>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7A128F">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65E1DFC1" w14:textId="77777777" w:rsidR="007A128F" w:rsidRPr="00DB333D" w:rsidRDefault="007A128F" w:rsidP="007A128F">
      <w:pPr>
        <w:pStyle w:val="B2"/>
      </w:pPr>
      <w:r w:rsidRPr="00DB333D">
        <w:t>-</w:t>
      </w:r>
      <w:r w:rsidRPr="00DB333D">
        <w:tab/>
        <w:t>Dynamic indication of unused CG PUSCH occasion(s) based on UCI by the UE</w:t>
      </w:r>
      <w:r>
        <w:t xml:space="preserve"> (RAN1</w:t>
      </w:r>
      <w:proofErr w:type="gramStart"/>
      <w:r>
        <w:t>);</w:t>
      </w:r>
      <w:proofErr w:type="gramEnd"/>
    </w:p>
    <w:p w14:paraId="2551ECFF" w14:textId="77777777" w:rsidR="007A128F" w:rsidRPr="00DB333D" w:rsidRDefault="007A128F" w:rsidP="007A128F">
      <w:pPr>
        <w:pStyle w:val="B2"/>
      </w:pPr>
      <w:r w:rsidRPr="00DB333D">
        <w:t>-</w:t>
      </w:r>
      <w:r w:rsidRPr="00DB333D">
        <w:tab/>
        <w:t>BSR enhancements including at least new BS Table(s);</w:t>
      </w:r>
      <w:r w:rsidRPr="00B946DE">
        <w:t xml:space="preserve"> </w:t>
      </w:r>
      <w:r>
        <w:t>(RAN2</w:t>
      </w:r>
      <w:proofErr w:type="gramStart"/>
      <w:r>
        <w:t>);</w:t>
      </w:r>
      <w:proofErr w:type="gramEnd"/>
    </w:p>
    <w:p w14:paraId="52FDAC1B" w14:textId="77777777" w:rsidR="007A128F" w:rsidRPr="00DB333D" w:rsidRDefault="007A128F" w:rsidP="007A128F">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68C06DDC" w14:textId="77777777" w:rsidR="007A128F" w:rsidRPr="00DB333D" w:rsidRDefault="007A128F" w:rsidP="007A128F">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394379E6" w14:textId="77777777" w:rsidR="007A128F" w:rsidRDefault="007A128F" w:rsidP="007A128F">
      <w:pPr>
        <w:pStyle w:val="B2"/>
      </w:pPr>
      <w:r w:rsidRPr="00DB333D">
        <w:t>-</w:t>
      </w:r>
      <w:r w:rsidRPr="00DB333D">
        <w:tab/>
        <w:t>Discard operation of PDU Sets</w:t>
      </w:r>
      <w:r w:rsidRPr="00B946DE">
        <w:t xml:space="preserve"> </w:t>
      </w:r>
      <w:r>
        <w:t>(RAN2</w:t>
      </w:r>
      <w:proofErr w:type="gramStart"/>
      <w:r>
        <w:t>);</w:t>
      </w:r>
      <w:proofErr w:type="gramEnd"/>
    </w:p>
    <w:p w14:paraId="0EA03A20" w14:textId="4F4B781D" w:rsidR="00755E25" w:rsidRDefault="00343BC2" w:rsidP="00755E25">
      <w:pPr>
        <w:tabs>
          <w:tab w:val="left" w:pos="1093"/>
        </w:tabs>
        <w:jc w:val="both"/>
        <w:rPr>
          <w:lang w:val="en-US" w:eastAsia="x-none"/>
        </w:rPr>
      </w:pPr>
      <w:r>
        <w:rPr>
          <w:lang w:val="en-US" w:eastAsia="x-none"/>
        </w:rPr>
        <w:t>During the study item phase, various</w:t>
      </w:r>
      <w:r w:rsidR="00262491">
        <w:rPr>
          <w:lang w:val="en-US" w:eastAsia="x-none"/>
        </w:rPr>
        <w:t xml:space="preserve"> enhancement techniques were proposed. </w:t>
      </w:r>
      <w:r w:rsidR="002D20AA">
        <w:rPr>
          <w:lang w:val="en-US" w:eastAsia="x-none"/>
        </w:rPr>
        <w:t xml:space="preserve">The selected capacity improvements techniques were divided into physical layer enhancements </w:t>
      </w:r>
      <w:r w:rsidR="006A53C0">
        <w:rPr>
          <w:lang w:val="en-US" w:eastAsia="x-none"/>
        </w:rPr>
        <w:t>and layer 2 enhancements. On physical layer enhancements, the following enhancements for configured grant</w:t>
      </w:r>
      <w:r w:rsidR="00102B10">
        <w:rPr>
          <w:lang w:val="en-US" w:eastAsia="x-none"/>
        </w:rPr>
        <w:t>-</w:t>
      </w:r>
      <w:r w:rsidR="006A53C0">
        <w:rPr>
          <w:lang w:val="en-US" w:eastAsia="x-none"/>
        </w:rPr>
        <w:t xml:space="preserve">based transmission are recommended </w:t>
      </w:r>
      <w:r w:rsidR="006A53C0">
        <w:rPr>
          <w:lang w:val="en-US" w:eastAsia="x-none"/>
        </w:rPr>
        <w:fldChar w:fldCharType="begin"/>
      </w:r>
      <w:r w:rsidR="006A53C0">
        <w:rPr>
          <w:lang w:val="en-US" w:eastAsia="x-none"/>
        </w:rPr>
        <w:instrText xml:space="preserve"> REF _Ref127178092 \r \h </w:instrText>
      </w:r>
      <w:r w:rsidR="006A53C0">
        <w:rPr>
          <w:lang w:val="en-US" w:eastAsia="x-none"/>
        </w:rPr>
      </w:r>
      <w:r w:rsidR="006A53C0">
        <w:rPr>
          <w:lang w:val="en-US" w:eastAsia="x-none"/>
        </w:rPr>
        <w:fldChar w:fldCharType="separate"/>
      </w:r>
      <w:r w:rsidR="006A53C0">
        <w:rPr>
          <w:lang w:val="en-US" w:eastAsia="x-none"/>
        </w:rPr>
        <w:t>[2]</w:t>
      </w:r>
      <w:r w:rsidR="006A53C0">
        <w:rPr>
          <w:lang w:val="en-US" w:eastAsia="x-none"/>
        </w:rPr>
        <w:fldChar w:fldCharType="end"/>
      </w:r>
      <w:r w:rsidR="006A53C0">
        <w:rPr>
          <w:lang w:val="en-US" w:eastAsia="x-none"/>
        </w:rPr>
        <w:t>:</w:t>
      </w:r>
    </w:p>
    <w:p w14:paraId="3AE2025C" w14:textId="53E4830E" w:rsidR="00755E25" w:rsidRPr="00755E25" w:rsidRDefault="00755E25" w:rsidP="00755E25">
      <w:pPr>
        <w:pStyle w:val="ListParagraph"/>
        <w:numPr>
          <w:ilvl w:val="0"/>
          <w:numId w:val="84"/>
        </w:numPr>
        <w:tabs>
          <w:tab w:val="left" w:pos="1093"/>
        </w:tabs>
        <w:jc w:val="both"/>
        <w:rPr>
          <w:lang w:val="en-US" w:eastAsia="x-none"/>
        </w:rPr>
      </w:pPr>
      <w:r>
        <w:rPr>
          <w:lang w:eastAsia="x-none"/>
        </w:rPr>
        <w:t xml:space="preserve">Multiple CG PUSCH transmission occasions in a period of a single CG PUSCH </w:t>
      </w:r>
      <w:r w:rsidR="00DE46FE">
        <w:rPr>
          <w:lang w:eastAsia="x-none"/>
        </w:rPr>
        <w:t>configuration.</w:t>
      </w:r>
      <w:r>
        <w:rPr>
          <w:lang w:eastAsia="x-none"/>
        </w:rPr>
        <w:t xml:space="preserve">  </w:t>
      </w:r>
    </w:p>
    <w:p w14:paraId="5835CEC3" w14:textId="21FE7BD9" w:rsidR="006A53C0" w:rsidRPr="00755E25" w:rsidRDefault="00755E25" w:rsidP="00755E25">
      <w:pPr>
        <w:pStyle w:val="ListParagraph"/>
        <w:numPr>
          <w:ilvl w:val="0"/>
          <w:numId w:val="84"/>
        </w:numPr>
        <w:tabs>
          <w:tab w:val="left" w:pos="1093"/>
        </w:tabs>
        <w:jc w:val="both"/>
        <w:rPr>
          <w:lang w:val="en-US" w:eastAsia="x-none"/>
        </w:rPr>
      </w:pPr>
      <w:r>
        <w:rPr>
          <w:lang w:eastAsia="x-none"/>
        </w:rPr>
        <w:t xml:space="preserve">Dynamic indication of unused CG PUSCH occasion(s) based on UCI (e.g., CG-UCI or a new UCI) by the UE.  </w:t>
      </w:r>
    </w:p>
    <w:p w14:paraId="02CDE053" w14:textId="249E2CF2" w:rsidR="00096B9B" w:rsidRDefault="002565EE" w:rsidP="00A2483D">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the mechanisms to improve </w:t>
      </w:r>
      <w:r w:rsidR="00F5078B">
        <w:rPr>
          <w:lang w:val="en-US" w:eastAsia="x-none"/>
        </w:rPr>
        <w:t xml:space="preserve">XR </w:t>
      </w:r>
      <w:r>
        <w:rPr>
          <w:lang w:val="en-US" w:eastAsia="x-none"/>
        </w:rPr>
        <w:t xml:space="preserve">capacity, </w:t>
      </w:r>
      <w:r w:rsidR="00FA2C9E">
        <w:rPr>
          <w:lang w:val="en-US" w:eastAsia="x-none"/>
        </w:rPr>
        <w:t xml:space="preserve">particularly on the configured grant aspects as </w:t>
      </w:r>
      <w:r w:rsidR="00B9600F">
        <w:rPr>
          <w:lang w:val="en-US" w:eastAsia="x-none"/>
        </w:rPr>
        <w:t xml:space="preserve">one of </w:t>
      </w:r>
      <w:r w:rsidR="000819C7">
        <w:rPr>
          <w:lang w:val="en-US" w:eastAsia="x-none"/>
        </w:rPr>
        <w:t>the recommended items during study item phase</w:t>
      </w:r>
      <w:r w:rsidR="00DF4233">
        <w:rPr>
          <w:lang w:val="en-US" w:eastAsia="x-none"/>
        </w:rPr>
        <w:t>.</w:t>
      </w:r>
    </w:p>
    <w:p w14:paraId="4F86B072" w14:textId="70080397"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23CCCAD6" w14:textId="7E94F032" w:rsidR="00AE3812" w:rsidRDefault="00AE3812" w:rsidP="00495203">
      <w:pPr>
        <w:jc w:val="both"/>
      </w:pPr>
      <w:r>
        <w:t>eXtended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eXtended Reality (XR) has been approved in 3GPP [1] to study potential enhancements to the legacy 5G system for support of XR traffic.</w:t>
      </w:r>
    </w:p>
    <w:p w14:paraId="028E2F2A" w14:textId="3817EA9D" w:rsidR="00AE3812" w:rsidRDefault="00AE3812" w:rsidP="00495203">
      <w:pPr>
        <w:jc w:val="both"/>
      </w:pPr>
      <w:r>
        <w:t>XR traffic is rich in video especially in the downlink with a typical frame rate of 60 Hz [2], which leads to a data transmission with non-integer periodicity in NR, i.e.</w:t>
      </w:r>
      <w:r w:rsidR="00F8386A">
        <w:t>,</w:t>
      </w:r>
      <w:r>
        <w:t xml:space="preserve"> the periodicity is not an integer number of subframes and in this example, the periodicity is 16.67 ms.  Due to varying frame encoding delay and network transfer time, the packet arrival at the gNB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5188F29D" w:rsidR="00BE7F58" w:rsidRDefault="00BE7F58" w:rsidP="00D1521E">
      <w:pPr>
        <w:pStyle w:val="Caption"/>
      </w:pPr>
    </w:p>
    <w:p w14:paraId="193E1BB5" w14:textId="77777777" w:rsidR="00495203" w:rsidRDefault="00495203" w:rsidP="0049520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1F8D744E" w:rsidR="00495203" w:rsidRDefault="00495203" w:rsidP="00495203">
      <w:pPr>
        <w:pStyle w:val="Caption"/>
        <w:jc w:val="center"/>
      </w:pPr>
      <w:r>
        <w:t xml:space="preserve">Figure </w:t>
      </w:r>
      <w:r w:rsidR="003D2B34">
        <w:fldChar w:fldCharType="begin"/>
      </w:r>
      <w:r w:rsidR="003D2B34">
        <w:instrText xml:space="preserve"> SEQ Figure \* ARABIC </w:instrText>
      </w:r>
      <w:r w:rsidR="003D2B34">
        <w:fldChar w:fldCharType="separate"/>
      </w:r>
      <w:r w:rsidR="00272349">
        <w:rPr>
          <w:noProof/>
        </w:rPr>
        <w:t>1</w:t>
      </w:r>
      <w:r w:rsidR="003D2B34">
        <w:rPr>
          <w:noProof/>
        </w:rPr>
        <w:fldChar w:fldCharType="end"/>
      </w:r>
      <w:r>
        <w:t>:</w:t>
      </w:r>
      <w:r w:rsidRPr="00495203">
        <w:t xml:space="preserve"> Illustration of DL traffic model [TR 38.838]</w:t>
      </w:r>
    </w:p>
    <w:p w14:paraId="23B4134F" w14:textId="77777777" w:rsidR="00AE3812" w:rsidRDefault="00AE3812" w:rsidP="00AE3812"/>
    <w:p w14:paraId="389C145E" w14:textId="0F01E34F" w:rsidR="00AE3812" w:rsidRPr="00260767" w:rsidRDefault="00AE3812" w:rsidP="00260767">
      <w:pPr>
        <w:jc w:val="both"/>
      </w:pPr>
      <w:r w:rsidRPr="00260767">
        <w:t>In the legacy 5G system, traffic with known periodicity and packet size, e.g.</w:t>
      </w:r>
      <w:r w:rsidR="00B859B7">
        <w:t>,</w:t>
      </w:r>
      <w:r w:rsidRPr="00260767">
        <w:t xml:space="preserve"> voice, is supported using Semi-Persistent Scheduling (SPS) PDSCH and Configured Grant PUSCH (CG-PUSCH).</w:t>
      </w:r>
    </w:p>
    <w:p w14:paraId="636ACD75" w14:textId="4ED79D90" w:rsidR="00F35E94" w:rsidRDefault="00AE3812" w:rsidP="00260767">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1B75EFC4" w14:textId="748F2484" w:rsidR="001040EE" w:rsidRDefault="001040EE" w:rsidP="00656FA9"/>
    <w:p w14:paraId="3278C66D" w14:textId="787758F2" w:rsidR="00BF34A0" w:rsidRDefault="00BF34A0" w:rsidP="00656FA9">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01ED3141" w:rsidR="00072B85" w:rsidRPr="00050CAC" w:rsidRDefault="00072B85" w:rsidP="00072B85">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 xml:space="preserve">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w:t>
      </w:r>
      <w:r w:rsidR="009E68E3">
        <w:rPr>
          <w:szCs w:val="22"/>
        </w:rPr>
        <w:t>un</w:t>
      </w:r>
      <w:r>
        <w:rPr>
          <w:szCs w:val="22"/>
        </w:rPr>
        <w:t>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72B85">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ms. Hence, if periodicity is long, the data may sit in the buffer for a period that is longer than the XR delay budget. Hence, the data will be discarded at the end. </w:t>
      </w:r>
    </w:p>
    <w:p w14:paraId="159C21B5" w14:textId="213E3C3E" w:rsidR="009F789A" w:rsidRDefault="009F789A" w:rsidP="00656FA9"/>
    <w:p w14:paraId="1C66985E" w14:textId="02AA9381" w:rsidR="00442B72" w:rsidRDefault="00B31899" w:rsidP="004A4615">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4A4615">
        <w:rPr>
          <w:szCs w:val="22"/>
        </w:rPr>
      </w:r>
      <w:r w:rsidR="004A4615">
        <w:rPr>
          <w:szCs w:val="22"/>
        </w:rPr>
        <w:fldChar w:fldCharType="separate"/>
      </w:r>
      <w:r w:rsidR="004A4615">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w:t>
      </w:r>
      <w:proofErr w:type="gramStart"/>
      <w:r w:rsidR="004A4615">
        <w:rPr>
          <w:rFonts w:cstheme="minorHAnsi"/>
          <w:szCs w:val="22"/>
        </w:rPr>
        <w:t>a number of</w:t>
      </w:r>
      <w:proofErr w:type="gramEnd"/>
      <w:r w:rsidR="004A4615">
        <w:rPr>
          <w:rFonts w:cstheme="minorHAnsi"/>
          <w:szCs w:val="22"/>
        </w:rPr>
        <w:t xml:space="preserve">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3CBB5A84" w14:textId="66F1F9BD" w:rsidR="00A528BA" w:rsidRDefault="00442B72" w:rsidP="004A4615">
      <w:pPr>
        <w:jc w:val="both"/>
        <w:rPr>
          <w:szCs w:val="22"/>
        </w:rPr>
      </w:pPr>
      <w:r w:rsidRPr="006B73A3">
        <w:rPr>
          <w:szCs w:val="22"/>
        </w:rPr>
        <w:t>The operation of multiple CG-PUSCH</w:t>
      </w:r>
      <w:r w:rsidR="00664BCA" w:rsidRPr="006B73A3">
        <w:rPr>
          <w:szCs w:val="22"/>
        </w:rPr>
        <w:t xml:space="preserve"> occasions in a period of a single CG-PUSCH configuration is illustrated in </w:t>
      </w:r>
      <w:r w:rsidR="00664BCA" w:rsidRPr="006B73A3">
        <w:rPr>
          <w:szCs w:val="22"/>
        </w:rPr>
        <w:fldChar w:fldCharType="begin"/>
      </w:r>
      <w:r w:rsidR="00664BCA" w:rsidRPr="006B73A3">
        <w:rPr>
          <w:szCs w:val="22"/>
        </w:rPr>
        <w:instrText xml:space="preserve"> REF _Ref127187800 \h </w:instrText>
      </w:r>
      <w:r w:rsidR="006B73A3">
        <w:rPr>
          <w:szCs w:val="22"/>
        </w:rPr>
        <w:instrText xml:space="preserve"> \* MERGEFORMAT </w:instrText>
      </w:r>
      <w:r w:rsidR="00664BCA" w:rsidRPr="006B73A3">
        <w:rPr>
          <w:szCs w:val="22"/>
        </w:rPr>
      </w:r>
      <w:r w:rsidR="00664BCA" w:rsidRPr="006B73A3">
        <w:rPr>
          <w:szCs w:val="22"/>
        </w:rPr>
        <w:fldChar w:fldCharType="separate"/>
      </w:r>
      <w:r w:rsidR="00664BCA" w:rsidRPr="006B73A3">
        <w:t xml:space="preserve">Figure </w:t>
      </w:r>
      <w:r w:rsidR="00664BCA" w:rsidRPr="006B73A3">
        <w:rPr>
          <w:noProof/>
        </w:rPr>
        <w:t>2</w:t>
      </w:r>
      <w:r w:rsidR="00664BCA" w:rsidRPr="006B73A3">
        <w:rPr>
          <w:szCs w:val="22"/>
        </w:rPr>
        <w:fldChar w:fldCharType="end"/>
      </w:r>
      <w:r w:rsidR="005B2542" w:rsidRPr="006B73A3">
        <w:rPr>
          <w:szCs w:val="22"/>
        </w:rPr>
        <w:t>. This operation supports</w:t>
      </w:r>
      <w:r w:rsidR="00253527" w:rsidRPr="006B73A3">
        <w:rPr>
          <w:szCs w:val="22"/>
        </w:rPr>
        <w:t xml:space="preserve"> the transmission of XR traffics in which the packet size </w:t>
      </w:r>
      <w:r w:rsidR="002C6AF4" w:rsidRPr="006B73A3">
        <w:rPr>
          <w:szCs w:val="22"/>
        </w:rPr>
        <w:t xml:space="preserve">can vary. In this example, the UE buffer varies from 4 Mbps to 2 </w:t>
      </w:r>
      <w:r w:rsidR="001D58AE" w:rsidRPr="006B73A3">
        <w:rPr>
          <w:szCs w:val="22"/>
        </w:rPr>
        <w:t xml:space="preserve">Mbps </w:t>
      </w:r>
      <w:r w:rsidR="005543BE" w:rsidRPr="006B73A3">
        <w:rPr>
          <w:szCs w:val="22"/>
        </w:rPr>
        <w:t>and within a CG-PUCH period, the UE is configured with up to 4 CG-PUSCH occasions</w:t>
      </w:r>
      <w:r w:rsidR="002C6AF4" w:rsidRPr="006B73A3">
        <w:rPr>
          <w:szCs w:val="22"/>
        </w:rPr>
        <w:t xml:space="preserve">. In case, the UE buffer reduces then the UE can use some of the CG-PUSCH occasions. </w:t>
      </w:r>
      <w:r w:rsidR="00462AE3" w:rsidRPr="006B73A3">
        <w:rPr>
          <w:szCs w:val="22"/>
        </w:rPr>
        <w:t xml:space="preserve">On the other hand, in case the UE buffer is full then </w:t>
      </w:r>
      <w:r w:rsidR="006B73A3" w:rsidRPr="006B73A3">
        <w:rPr>
          <w:szCs w:val="22"/>
        </w:rPr>
        <w:t>all</w:t>
      </w:r>
      <w:r w:rsidR="00462AE3" w:rsidRPr="006B73A3">
        <w:rPr>
          <w:szCs w:val="22"/>
        </w:rPr>
        <w:t xml:space="preserve"> the CG-PUSCH occasions can be used.</w:t>
      </w:r>
    </w:p>
    <w:p w14:paraId="0B71BC55" w14:textId="76FDE978" w:rsidR="008E013F" w:rsidRPr="006B73A3" w:rsidRDefault="008E013F" w:rsidP="004A4615">
      <w:pPr>
        <w:jc w:val="both"/>
        <w:rPr>
          <w:szCs w:val="22"/>
        </w:rPr>
      </w:pPr>
      <w:r>
        <w:rPr>
          <w:szCs w:val="22"/>
        </w:rPr>
        <w:t xml:space="preserve">RAN1 made a progress that </w:t>
      </w:r>
      <w:r w:rsidRPr="00FF626E">
        <w:rPr>
          <w:szCs w:val="22"/>
        </w:rPr>
        <w:t xml:space="preserve">a </w:t>
      </w:r>
      <w:r w:rsidRPr="00FF626E">
        <w:rPr>
          <w:szCs w:val="22"/>
          <w:lang w:val="en-US"/>
        </w:rPr>
        <w:t>new UCI will be defined to provide information about unused CG PUSCH transmission occasions in a single CG configuration, and this UCI will be carried in every transmitted CG PUSCH</w:t>
      </w:r>
      <w:r w:rsidR="00EF629F">
        <w:rPr>
          <w:szCs w:val="22"/>
          <w:lang w:val="en-US"/>
        </w:rPr>
        <w:t xml:space="preserve"> (</w:t>
      </w:r>
      <w:r w:rsidR="00BB35EB">
        <w:rPr>
          <w:szCs w:val="22"/>
          <w:lang w:val="en-US"/>
        </w:rPr>
        <w:t xml:space="preserve">i.e., </w:t>
      </w:r>
      <w:r w:rsidR="00EF629F">
        <w:rPr>
          <w:szCs w:val="22"/>
          <w:lang w:val="en-US"/>
        </w:rPr>
        <w:t xml:space="preserve">UCI + </w:t>
      </w:r>
      <w:r w:rsidR="00BB35EB">
        <w:rPr>
          <w:szCs w:val="22"/>
          <w:lang w:val="en-US"/>
        </w:rPr>
        <w:t>da</w:t>
      </w:r>
      <w:r w:rsidR="00EF629F">
        <w:rPr>
          <w:szCs w:val="22"/>
          <w:lang w:val="en-US"/>
        </w:rPr>
        <w:t>ta)</w:t>
      </w:r>
      <w:r w:rsidR="00BB35EB">
        <w:rPr>
          <w:szCs w:val="22"/>
          <w:lang w:val="en-US"/>
        </w:rPr>
        <w:t>.</w:t>
      </w:r>
      <w:r w:rsidR="003B0AF1">
        <w:rPr>
          <w:szCs w:val="22"/>
          <w:lang w:val="en-US"/>
        </w:rPr>
        <w:t xml:space="preserve"> Therefore, RAN2 should specify</w:t>
      </w:r>
      <w:r w:rsidR="008C23F8">
        <w:rPr>
          <w:szCs w:val="22"/>
          <w:lang w:val="en-US"/>
        </w:rPr>
        <w:t xml:space="preserve"> RRC </w:t>
      </w:r>
      <w:r w:rsidR="003B0AF1">
        <w:rPr>
          <w:szCs w:val="22"/>
          <w:lang w:val="en-US"/>
        </w:rPr>
        <w:t xml:space="preserve">parameters </w:t>
      </w:r>
      <w:r w:rsidR="008C23F8">
        <w:rPr>
          <w:szCs w:val="22"/>
          <w:lang w:val="en-US"/>
        </w:rPr>
        <w:t xml:space="preserve">for </w:t>
      </w:r>
      <w:r w:rsidR="000063B8" w:rsidRPr="006B73A3">
        <w:rPr>
          <w:szCs w:val="22"/>
        </w:rPr>
        <w:t>multiple CG-PUSCH occasions in a period of a single CG-PUSCH configuration</w:t>
      </w:r>
      <w:r w:rsidR="000063B8">
        <w:rPr>
          <w:szCs w:val="22"/>
        </w:rPr>
        <w:t>.</w:t>
      </w:r>
    </w:p>
    <w:p w14:paraId="07300810" w14:textId="6FFA14AD" w:rsidR="00787E5F" w:rsidRPr="00DA4CEF" w:rsidRDefault="00107F5C" w:rsidP="00787E5F">
      <w:pPr>
        <w:jc w:val="both"/>
        <w:rPr>
          <w:szCs w:val="22"/>
        </w:rPr>
      </w:pPr>
      <w:r w:rsidRPr="006B73A3">
        <w:rPr>
          <w:szCs w:val="22"/>
        </w:rPr>
        <w:t>From RRC configuration perspective,</w:t>
      </w:r>
      <w:r w:rsidR="008536A9" w:rsidRPr="006B73A3">
        <w:rPr>
          <w:szCs w:val="22"/>
        </w:rPr>
        <w:t xml:space="preserve"> the configuration should be done in such a way that there is main CG occasion and </w:t>
      </w:r>
      <w:r w:rsidR="00321DDA" w:rsidRPr="006B73A3">
        <w:t>one or more supplementary occasions within a period of a single CG configuration.</w:t>
      </w:r>
      <w:r w:rsidR="004B2599" w:rsidRPr="006B73A3">
        <w:t xml:space="preserve"> </w:t>
      </w:r>
      <w:r w:rsidR="002130B9" w:rsidRPr="006B73A3">
        <w:t>The</w:t>
      </w:r>
      <w:r w:rsidR="00787E5F" w:rsidRPr="006B73A3">
        <w:t xml:space="preserve"> number of </w:t>
      </w:r>
      <w:r w:rsidR="004B2599" w:rsidRPr="006B73A3">
        <w:lastRenderedPageBreak/>
        <w:t xml:space="preserve">supplementary </w:t>
      </w:r>
      <w:r w:rsidR="0053565C" w:rsidRPr="006B73A3">
        <w:t xml:space="preserve">occasions should </w:t>
      </w:r>
      <w:r w:rsidR="00787E5F" w:rsidRPr="006B73A3">
        <w:t xml:space="preserve">be </w:t>
      </w:r>
      <w:r w:rsidR="00FA6385">
        <w:t>semi</w:t>
      </w:r>
      <w:r w:rsidR="00774C47">
        <w:t>-</w:t>
      </w:r>
      <w:r w:rsidR="00412245">
        <w:t xml:space="preserve">static and </w:t>
      </w:r>
      <w:r w:rsidR="003F79E0" w:rsidRPr="006B73A3">
        <w:t xml:space="preserve">RRC configured </w:t>
      </w:r>
      <w:r w:rsidR="00FC7B12" w:rsidRPr="006B73A3">
        <w:t>regardless of</w:t>
      </w:r>
      <w:r w:rsidR="00D1249E" w:rsidRPr="006B73A3">
        <w:t xml:space="preserve"> whether they are activated (used) or not </w:t>
      </w:r>
      <w:r w:rsidR="00D1249E" w:rsidRPr="00DA4CEF">
        <w:t>activated (</w:t>
      </w:r>
      <w:r w:rsidR="007B58AD">
        <w:t>un</w:t>
      </w:r>
      <w:r w:rsidR="00020918" w:rsidRPr="00DA4CEF">
        <w:t>used</w:t>
      </w:r>
      <w:r w:rsidR="00D1249E" w:rsidRPr="00DA4CEF">
        <w:t xml:space="preserve">) </w:t>
      </w:r>
      <w:r w:rsidR="002D19D7" w:rsidRPr="00DA4CEF">
        <w:t xml:space="preserve">and </w:t>
      </w:r>
      <w:r w:rsidR="009518A6">
        <w:t xml:space="preserve">all </w:t>
      </w:r>
      <w:r w:rsidR="00EA3ADF">
        <w:t xml:space="preserve">should </w:t>
      </w:r>
      <w:r w:rsidR="0053565C" w:rsidRPr="00DA4CEF">
        <w:t xml:space="preserve">have an equal </w:t>
      </w:r>
      <w:r w:rsidR="00DA4CEF" w:rsidRPr="00DA4CEF">
        <w:t xml:space="preserve">offset/gap </w:t>
      </w:r>
      <w:r w:rsidR="0053565C" w:rsidRPr="00DA4CEF">
        <w:t xml:space="preserve">between </w:t>
      </w:r>
      <w:r w:rsidR="00787E5F" w:rsidRPr="00DA4CEF">
        <w:t>them</w:t>
      </w:r>
      <w:r w:rsidR="00B35641" w:rsidRPr="00B35641">
        <w:t>,</w:t>
      </w:r>
      <w:r w:rsidR="007D713F" w:rsidRPr="00B35641">
        <w:t xml:space="preserve"> </w:t>
      </w:r>
      <w:r w:rsidR="00B35641" w:rsidRPr="00B35641">
        <w:t>starting from the main occasion,</w:t>
      </w:r>
      <w:r w:rsidR="00B35641" w:rsidRPr="00DA4CEF">
        <w:t xml:space="preserve"> </w:t>
      </w:r>
      <w:r w:rsidR="007D713F" w:rsidRPr="00DA4CEF">
        <w:t xml:space="preserve">to simplify the </w:t>
      </w:r>
      <w:r w:rsidR="00020918" w:rsidRPr="00DA4CEF">
        <w:t>specification</w:t>
      </w:r>
      <w:r w:rsidR="00787E5F" w:rsidRPr="00DA4CEF">
        <w:t xml:space="preserve">. </w:t>
      </w:r>
      <w:r w:rsidR="00101284" w:rsidRPr="00DA4CEF">
        <w:t xml:space="preserve">The </w:t>
      </w:r>
      <w:r w:rsidR="003A212D" w:rsidRPr="00DA4CEF">
        <w:t>offset/gap</w:t>
      </w:r>
      <w:r w:rsidR="00101284" w:rsidRPr="00DA4CEF">
        <w:t xml:space="preserve"> could be zero (i</w:t>
      </w:r>
      <w:r w:rsidR="00FC7B12" w:rsidRPr="00DA4CEF">
        <w:t>.</w:t>
      </w:r>
      <w:r w:rsidR="00101284" w:rsidRPr="00DA4CEF">
        <w:t>e</w:t>
      </w:r>
      <w:r w:rsidR="00FC7B12" w:rsidRPr="00DA4CEF">
        <w:t>.,</w:t>
      </w:r>
      <w:r w:rsidR="00101284" w:rsidRPr="00DA4CEF">
        <w:t xml:space="preserve"> </w:t>
      </w:r>
      <w:r w:rsidR="00FC7B12" w:rsidRPr="00DA4CEF">
        <w:t>contiguous)</w:t>
      </w:r>
      <w:r w:rsidR="00020918" w:rsidRPr="00DA4CEF">
        <w:t>.</w:t>
      </w:r>
    </w:p>
    <w:p w14:paraId="19A9FB58" w14:textId="33ED1AC2" w:rsidR="00CE1EDE" w:rsidRPr="006B73A3" w:rsidRDefault="0002193F" w:rsidP="0083064B">
      <w:pPr>
        <w:pStyle w:val="Caption"/>
        <w:jc w:val="both"/>
        <w:rPr>
          <w:rFonts w:ascii="Times New Roman" w:hAnsi="Times New Roman"/>
        </w:rPr>
      </w:pPr>
      <w:r w:rsidRPr="006B73A3">
        <w:rPr>
          <w:rFonts w:ascii="Times New Roman" w:hAnsi="Times New Roman"/>
        </w:rPr>
        <w:t xml:space="preserve">Proposal </w:t>
      </w:r>
      <w:r w:rsidR="00F03D1B" w:rsidRPr="006B73A3">
        <w:rPr>
          <w:rFonts w:ascii="Times New Roman" w:hAnsi="Times New Roman"/>
        </w:rPr>
        <w:fldChar w:fldCharType="begin"/>
      </w:r>
      <w:r w:rsidR="00F03D1B" w:rsidRPr="006B73A3">
        <w:rPr>
          <w:rFonts w:ascii="Times New Roman" w:hAnsi="Times New Roman"/>
        </w:rPr>
        <w:instrText xml:space="preserve"> SEQ Proposal \* ARABIC </w:instrText>
      </w:r>
      <w:r w:rsidR="00F03D1B" w:rsidRPr="006B73A3">
        <w:rPr>
          <w:rFonts w:ascii="Times New Roman" w:hAnsi="Times New Roman"/>
        </w:rPr>
        <w:fldChar w:fldCharType="separate"/>
      </w:r>
      <w:r w:rsidR="00437551" w:rsidRPr="006B73A3">
        <w:rPr>
          <w:rFonts w:ascii="Times New Roman" w:hAnsi="Times New Roman"/>
          <w:noProof/>
        </w:rPr>
        <w:t>1</w:t>
      </w:r>
      <w:r w:rsidR="00F03D1B" w:rsidRPr="006B73A3">
        <w:rPr>
          <w:rFonts w:ascii="Times New Roman" w:hAnsi="Times New Roman"/>
          <w:noProof/>
        </w:rPr>
        <w:fldChar w:fldCharType="end"/>
      </w:r>
      <w:r w:rsidRPr="006B73A3">
        <w:rPr>
          <w:rFonts w:ascii="Times New Roman" w:hAnsi="Times New Roman"/>
        </w:rPr>
        <w:t xml:space="preserve">: </w:t>
      </w:r>
      <w:r w:rsidR="00321DDA" w:rsidRPr="006B73A3">
        <w:rPr>
          <w:rFonts w:ascii="Times New Roman" w:hAnsi="Times New Roman"/>
        </w:rPr>
        <w:t>From RRC configuration</w:t>
      </w:r>
      <w:r w:rsidR="006F340A" w:rsidRPr="006B73A3">
        <w:rPr>
          <w:rFonts w:ascii="Times New Roman" w:hAnsi="Times New Roman"/>
        </w:rPr>
        <w:t xml:space="preserve"> perspective</w:t>
      </w:r>
      <w:r w:rsidR="00321DDA" w:rsidRPr="006B73A3">
        <w:rPr>
          <w:rFonts w:ascii="Times New Roman" w:hAnsi="Times New Roman"/>
        </w:rPr>
        <w:t xml:space="preserve">, </w:t>
      </w:r>
      <w:r w:rsidR="00F376D6" w:rsidRPr="006B73A3">
        <w:rPr>
          <w:rFonts w:ascii="Times New Roman" w:hAnsi="Times New Roman"/>
        </w:rPr>
        <w:t xml:space="preserve">there should be </w:t>
      </w:r>
      <w:r w:rsidR="007D0280" w:rsidRPr="006B73A3">
        <w:rPr>
          <w:rFonts w:ascii="Times New Roman" w:hAnsi="Times New Roman"/>
        </w:rPr>
        <w:t xml:space="preserve">two </w:t>
      </w:r>
      <w:r w:rsidR="00AB07D8" w:rsidRPr="006B73A3">
        <w:rPr>
          <w:rFonts w:ascii="Times New Roman" w:hAnsi="Times New Roman"/>
        </w:rPr>
        <w:t>configuration</w:t>
      </w:r>
      <w:r w:rsidR="00D21E6C" w:rsidRPr="006B73A3">
        <w:rPr>
          <w:rFonts w:ascii="Times New Roman" w:hAnsi="Times New Roman"/>
        </w:rPr>
        <w:t>s</w:t>
      </w:r>
      <w:r w:rsidR="00D073D0" w:rsidRPr="006B73A3">
        <w:rPr>
          <w:rFonts w:ascii="Times New Roman" w:hAnsi="Times New Roman"/>
        </w:rPr>
        <w:t>:</w:t>
      </w:r>
      <w:r w:rsidR="00AB07D8" w:rsidRPr="006B73A3">
        <w:rPr>
          <w:rFonts w:ascii="Times New Roman" w:hAnsi="Times New Roman"/>
        </w:rPr>
        <w:t xml:space="preserve"> the </w:t>
      </w:r>
      <w:r w:rsidR="002C0014" w:rsidRPr="006B73A3">
        <w:rPr>
          <w:rFonts w:ascii="Times New Roman" w:hAnsi="Times New Roman"/>
        </w:rPr>
        <w:t>configuration</w:t>
      </w:r>
      <w:r w:rsidR="002C0014">
        <w:rPr>
          <w:rFonts w:ascii="Times New Roman" w:hAnsi="Times New Roman"/>
        </w:rPr>
        <w:t xml:space="preserve"> of the </w:t>
      </w:r>
      <w:r w:rsidR="00CE1EDE" w:rsidRPr="006B73A3">
        <w:rPr>
          <w:rFonts w:ascii="Times New Roman" w:hAnsi="Times New Roman"/>
        </w:rPr>
        <w:t>main occasion</w:t>
      </w:r>
      <w:r w:rsidR="00AB07D8" w:rsidRPr="006B73A3">
        <w:rPr>
          <w:rFonts w:ascii="Times New Roman" w:hAnsi="Times New Roman"/>
        </w:rPr>
        <w:t xml:space="preserve"> (i.e., the legacy configuration)</w:t>
      </w:r>
      <w:r w:rsidR="00CE1EDE" w:rsidRPr="006B73A3">
        <w:rPr>
          <w:rFonts w:ascii="Times New Roman" w:hAnsi="Times New Roman"/>
        </w:rPr>
        <w:t xml:space="preserve"> and </w:t>
      </w:r>
      <w:r w:rsidR="002C0014" w:rsidRPr="006B73A3">
        <w:rPr>
          <w:rFonts w:ascii="Times New Roman" w:hAnsi="Times New Roman"/>
        </w:rPr>
        <w:t>the configuration</w:t>
      </w:r>
      <w:r w:rsidR="002C0014">
        <w:rPr>
          <w:rFonts w:ascii="Times New Roman" w:hAnsi="Times New Roman"/>
        </w:rPr>
        <w:t xml:space="preserve"> of </w:t>
      </w:r>
      <w:r w:rsidR="0003629C" w:rsidRPr="006B73A3">
        <w:rPr>
          <w:rFonts w:ascii="Times New Roman" w:hAnsi="Times New Roman"/>
        </w:rPr>
        <w:t xml:space="preserve">the number of </w:t>
      </w:r>
      <w:r w:rsidR="00CE1EDE" w:rsidRPr="006B73A3">
        <w:rPr>
          <w:rFonts w:ascii="Times New Roman" w:hAnsi="Times New Roman"/>
        </w:rPr>
        <w:t>supplementary occasions within a period of a single CG configuration.</w:t>
      </w:r>
    </w:p>
    <w:p w14:paraId="2ABE38D7" w14:textId="0CE11C80" w:rsidR="00D635B2" w:rsidRPr="00D635B2" w:rsidRDefault="00EC6EAF" w:rsidP="00D635B2">
      <w:pPr>
        <w:jc w:val="both"/>
        <w:rPr>
          <w:b/>
          <w:bCs/>
          <w:szCs w:val="22"/>
        </w:rPr>
      </w:pPr>
      <w:r w:rsidRPr="00D635B2">
        <w:rPr>
          <w:b/>
          <w:bCs/>
        </w:rPr>
        <w:t>Proposal 2: From RRC configuration perspective, t</w:t>
      </w:r>
      <w:r w:rsidR="00101284" w:rsidRPr="00D635B2">
        <w:rPr>
          <w:b/>
          <w:bCs/>
        </w:rPr>
        <w:t xml:space="preserve">he number of supplementary occasions should be RRC configured </w:t>
      </w:r>
      <w:r w:rsidR="007A712B">
        <w:rPr>
          <w:b/>
          <w:bCs/>
        </w:rPr>
        <w:t>(</w:t>
      </w:r>
      <w:r w:rsidR="00FA6385">
        <w:rPr>
          <w:b/>
          <w:bCs/>
        </w:rPr>
        <w:t xml:space="preserve">i.e., </w:t>
      </w:r>
      <w:r w:rsidR="007A712B">
        <w:rPr>
          <w:b/>
          <w:bCs/>
        </w:rPr>
        <w:t xml:space="preserve">semi-static) </w:t>
      </w:r>
      <w:r w:rsidR="00EA5162" w:rsidRPr="00D635B2">
        <w:rPr>
          <w:b/>
          <w:bCs/>
        </w:rPr>
        <w:t>regardless of</w:t>
      </w:r>
      <w:r w:rsidR="00101284" w:rsidRPr="00D635B2">
        <w:rPr>
          <w:b/>
          <w:bCs/>
        </w:rPr>
        <w:t xml:space="preserve"> whether they are used or </w:t>
      </w:r>
      <w:r w:rsidR="00815D79">
        <w:rPr>
          <w:b/>
          <w:bCs/>
        </w:rPr>
        <w:t>un</w:t>
      </w:r>
      <w:r w:rsidR="00101284" w:rsidRPr="00D635B2">
        <w:rPr>
          <w:b/>
          <w:bCs/>
        </w:rPr>
        <w:t xml:space="preserve">used and </w:t>
      </w:r>
      <w:r w:rsidR="009518A6">
        <w:rPr>
          <w:b/>
          <w:bCs/>
        </w:rPr>
        <w:t xml:space="preserve">all </w:t>
      </w:r>
      <w:r w:rsidR="00EA3ADF">
        <w:rPr>
          <w:b/>
          <w:bCs/>
        </w:rPr>
        <w:t xml:space="preserve">should </w:t>
      </w:r>
      <w:r w:rsidR="00101284" w:rsidRPr="00D635B2">
        <w:rPr>
          <w:b/>
          <w:bCs/>
        </w:rPr>
        <w:t xml:space="preserve">have an equal </w:t>
      </w:r>
      <w:r w:rsidR="00E44A5C">
        <w:rPr>
          <w:b/>
          <w:bCs/>
        </w:rPr>
        <w:t>offset</w:t>
      </w:r>
      <w:r w:rsidR="00101284" w:rsidRPr="00D635B2">
        <w:rPr>
          <w:b/>
          <w:bCs/>
        </w:rPr>
        <w:t xml:space="preserve">/gap between </w:t>
      </w:r>
      <w:r w:rsidR="00EA3ADF">
        <w:rPr>
          <w:b/>
          <w:bCs/>
        </w:rPr>
        <w:t>them</w:t>
      </w:r>
      <w:r w:rsidR="002C0504">
        <w:rPr>
          <w:b/>
          <w:bCs/>
        </w:rPr>
        <w:t xml:space="preserve">, starting from the main </w:t>
      </w:r>
      <w:r w:rsidR="00FC732D" w:rsidRPr="00D635B2">
        <w:rPr>
          <w:b/>
          <w:bCs/>
        </w:rPr>
        <w:t>occasion</w:t>
      </w:r>
      <w:r w:rsidR="00101284" w:rsidRPr="00D635B2">
        <w:rPr>
          <w:b/>
          <w:bCs/>
        </w:rPr>
        <w:t xml:space="preserve">. </w:t>
      </w:r>
      <w:r w:rsidR="00D635B2" w:rsidRPr="00D635B2">
        <w:rPr>
          <w:b/>
          <w:bCs/>
        </w:rPr>
        <w:t xml:space="preserve">The </w:t>
      </w:r>
      <w:r w:rsidR="00E44A5C">
        <w:rPr>
          <w:b/>
          <w:bCs/>
        </w:rPr>
        <w:t>offset</w:t>
      </w:r>
      <w:r w:rsidR="00E44A5C" w:rsidRPr="00D635B2">
        <w:rPr>
          <w:b/>
          <w:bCs/>
        </w:rPr>
        <w:t>/gap</w:t>
      </w:r>
      <w:r w:rsidR="00D635B2" w:rsidRPr="00D635B2">
        <w:rPr>
          <w:b/>
          <w:bCs/>
        </w:rPr>
        <w:t xml:space="preserve"> could be zero (i.e., contiguous).</w:t>
      </w:r>
    </w:p>
    <w:p w14:paraId="2B6BAC96" w14:textId="5E974B86" w:rsidR="00101284" w:rsidRPr="006B73A3" w:rsidRDefault="00101284" w:rsidP="0083064B">
      <w:pPr>
        <w:jc w:val="both"/>
        <w:rPr>
          <w:b/>
          <w:bCs/>
          <w:szCs w:val="22"/>
        </w:rPr>
      </w:pPr>
    </w:p>
    <w:p w14:paraId="71EF3AF5" w14:textId="79EAD9BC" w:rsidR="00192690" w:rsidRDefault="00885919" w:rsidP="004A0112">
      <w:pPr>
        <w:keepNext/>
        <w:jc w:val="center"/>
      </w:pPr>
      <w:r w:rsidRPr="00885919">
        <w:rPr>
          <w:noProof/>
        </w:rPr>
        <w:drawing>
          <wp:inline distT="0" distB="0" distL="0" distR="0" wp14:anchorId="1DD52221" wp14:editId="2F98A388">
            <wp:extent cx="6264275"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696085"/>
                    </a:xfrm>
                    <a:prstGeom prst="rect">
                      <a:avLst/>
                    </a:prstGeom>
                    <a:noFill/>
                    <a:ln>
                      <a:noFill/>
                    </a:ln>
                  </pic:spPr>
                </pic:pic>
              </a:graphicData>
            </a:graphic>
          </wp:inline>
        </w:drawing>
      </w:r>
    </w:p>
    <w:p w14:paraId="64662248" w14:textId="2DF7637E" w:rsidR="004A4615" w:rsidRDefault="004A0112" w:rsidP="004A0112">
      <w:pPr>
        <w:pStyle w:val="Caption"/>
        <w:jc w:val="center"/>
        <w:rPr>
          <w:rFonts w:cstheme="minorHAnsi"/>
        </w:rPr>
      </w:pPr>
      <w:bookmarkStart w:id="2" w:name="_Ref127187800"/>
      <w:r>
        <w:t xml:space="preserve">Figure </w:t>
      </w:r>
      <w:r w:rsidR="003D2B34">
        <w:fldChar w:fldCharType="begin"/>
      </w:r>
      <w:r w:rsidR="003D2B34">
        <w:instrText xml:space="preserve"> SEQ Figure \* ARABIC </w:instrText>
      </w:r>
      <w:r w:rsidR="003D2B34">
        <w:fldChar w:fldCharType="separate"/>
      </w:r>
      <w:r w:rsidR="00272349">
        <w:rPr>
          <w:noProof/>
        </w:rPr>
        <w:t>2</w:t>
      </w:r>
      <w:r w:rsidR="003D2B34">
        <w:rPr>
          <w:noProof/>
        </w:rPr>
        <w:fldChar w:fldCharType="end"/>
      </w:r>
      <w:bookmarkEnd w:id="2"/>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4A4615">
      <w:pPr>
        <w:jc w:val="both"/>
        <w:rPr>
          <w:rFonts w:cstheme="minorHAnsi"/>
          <w:szCs w:val="22"/>
        </w:rPr>
      </w:pPr>
    </w:p>
    <w:p w14:paraId="72B86611" w14:textId="400F5D07" w:rsidR="00096854" w:rsidRPr="00096854" w:rsidRDefault="00096854" w:rsidP="004A4615">
      <w:pPr>
        <w:jc w:val="both"/>
        <w:rPr>
          <w:szCs w:val="22"/>
        </w:rPr>
      </w:pPr>
      <w:r w:rsidRPr="00096854">
        <w:rPr>
          <w:b/>
          <w:bCs/>
          <w:szCs w:val="22"/>
        </w:rPr>
        <w:t>Timeline for indicating unused CG occasions</w:t>
      </w:r>
      <w:r w:rsidRPr="00096854">
        <w:rPr>
          <w:szCs w:val="22"/>
        </w:rPr>
        <w:t>:</w:t>
      </w:r>
      <w:r>
        <w:rPr>
          <w:szCs w:val="22"/>
        </w:rPr>
        <w:t xml:space="preserve"> The bene</w:t>
      </w:r>
      <w:r w:rsidR="00A2525D">
        <w:rPr>
          <w:szCs w:val="22"/>
        </w:rPr>
        <w:t>fits of indicating unused CG occasions is to reuse the resources for other UEs</w:t>
      </w:r>
      <w:r w:rsidR="00835071">
        <w:rPr>
          <w:szCs w:val="22"/>
        </w:rPr>
        <w:t xml:space="preserve"> at the gNB</w:t>
      </w:r>
      <w:r w:rsidR="00A2525D">
        <w:rPr>
          <w:szCs w:val="22"/>
        </w:rPr>
        <w:t>, as well as reducing the interference</w:t>
      </w:r>
      <w:r w:rsidR="00835071">
        <w:rPr>
          <w:szCs w:val="22"/>
        </w:rPr>
        <w:t xml:space="preserve">. However, gNB can </w:t>
      </w:r>
      <w:r w:rsidR="00660783">
        <w:rPr>
          <w:szCs w:val="22"/>
        </w:rPr>
        <w:t xml:space="preserve">only schedule these resources to other UEs if </w:t>
      </w:r>
      <w:r w:rsidR="00907341">
        <w:rPr>
          <w:szCs w:val="22"/>
        </w:rPr>
        <w:t>it gets the information/indication early</w:t>
      </w:r>
      <w:r w:rsidR="002862ED">
        <w:rPr>
          <w:szCs w:val="22"/>
        </w:rPr>
        <w:t xml:space="preserve"> from the UE</w:t>
      </w:r>
      <w:r w:rsidR="00621398">
        <w:rPr>
          <w:szCs w:val="22"/>
        </w:rPr>
        <w:t xml:space="preserve">. </w:t>
      </w:r>
      <w:proofErr w:type="gramStart"/>
      <w:r w:rsidR="00621398">
        <w:rPr>
          <w:szCs w:val="22"/>
        </w:rPr>
        <w:t>In order to</w:t>
      </w:r>
      <w:proofErr w:type="gramEnd"/>
      <w:r w:rsidR="00621398">
        <w:rPr>
          <w:szCs w:val="22"/>
        </w:rPr>
        <w:t xml:space="preserve"> help gNB sched</w:t>
      </w:r>
      <w:r w:rsidR="00FD5855">
        <w:rPr>
          <w:szCs w:val="22"/>
        </w:rPr>
        <w:t>uler, w</w:t>
      </w:r>
      <w:r w:rsidR="00621398">
        <w:rPr>
          <w:szCs w:val="22"/>
        </w:rPr>
        <w:t>e think RAN2</w:t>
      </w:r>
      <w:r w:rsidR="00FB5279">
        <w:rPr>
          <w:szCs w:val="22"/>
        </w:rPr>
        <w:t xml:space="preserve"> and </w:t>
      </w:r>
      <w:r w:rsidR="00621398">
        <w:rPr>
          <w:szCs w:val="22"/>
        </w:rPr>
        <w:t xml:space="preserve">RAN1 should specify </w:t>
      </w:r>
      <w:r w:rsidR="001B0A7A">
        <w:rPr>
          <w:szCs w:val="22"/>
        </w:rPr>
        <w:t xml:space="preserve">a </w:t>
      </w:r>
      <w:r w:rsidR="00AE5795">
        <w:rPr>
          <w:szCs w:val="22"/>
        </w:rPr>
        <w:t xml:space="preserve">timeline for a UE to indicate unused CG occasions </w:t>
      </w:r>
      <w:r w:rsidR="00D74AF6" w:rsidRPr="00C80AA6">
        <w:rPr>
          <w:rFonts w:cstheme="minorHAnsi"/>
          <w:bCs/>
        </w:rPr>
        <w:t>in a period of a single CG configuration</w:t>
      </w:r>
      <w:r w:rsidR="00CD1C25">
        <w:rPr>
          <w:rFonts w:cstheme="minorHAnsi"/>
          <w:bCs/>
        </w:rPr>
        <w:t xml:space="preserve"> (i</w:t>
      </w:r>
      <w:r w:rsidR="004D34D2">
        <w:rPr>
          <w:rFonts w:cstheme="minorHAnsi"/>
          <w:bCs/>
        </w:rPr>
        <w:t>.</w:t>
      </w:r>
      <w:r w:rsidR="00CD1C25">
        <w:rPr>
          <w:rFonts w:cstheme="minorHAnsi"/>
          <w:bCs/>
        </w:rPr>
        <w:t>e</w:t>
      </w:r>
      <w:r w:rsidR="00D74AF6">
        <w:rPr>
          <w:rFonts w:cstheme="minorHAnsi"/>
          <w:bCs/>
        </w:rPr>
        <w:t>.</w:t>
      </w:r>
      <w:r w:rsidR="004D34D2">
        <w:rPr>
          <w:rFonts w:cstheme="minorHAnsi"/>
          <w:bCs/>
        </w:rPr>
        <w:t xml:space="preserve">, minimum </w:t>
      </w:r>
      <w:r w:rsidR="00397A28">
        <w:rPr>
          <w:rFonts w:cstheme="minorHAnsi"/>
          <w:bCs/>
        </w:rPr>
        <w:t xml:space="preserve">indication </w:t>
      </w:r>
      <w:r w:rsidR="004D34D2">
        <w:rPr>
          <w:rFonts w:cstheme="minorHAnsi"/>
          <w:bCs/>
        </w:rPr>
        <w:t>time</w:t>
      </w:r>
      <w:r w:rsidR="001A77C2" w:rsidRPr="001A77C2">
        <w:rPr>
          <w:szCs w:val="22"/>
        </w:rPr>
        <w:t xml:space="preserve"> </w:t>
      </w:r>
      <w:r w:rsidR="001A77C2">
        <w:rPr>
          <w:szCs w:val="22"/>
        </w:rPr>
        <w:t>for unused CG occasion</w:t>
      </w:r>
      <w:r w:rsidR="00397A28">
        <w:rPr>
          <w:rFonts w:cstheme="minorHAnsi"/>
          <w:bCs/>
        </w:rPr>
        <w:t>).</w:t>
      </w:r>
      <w:r w:rsidR="004D34D2">
        <w:rPr>
          <w:rFonts w:cstheme="minorHAnsi"/>
          <w:bCs/>
        </w:rPr>
        <w:t xml:space="preserve"> </w:t>
      </w:r>
    </w:p>
    <w:p w14:paraId="0E45EC59" w14:textId="0C723728" w:rsidR="00BC4447" w:rsidRPr="00EF0D42" w:rsidRDefault="00437551" w:rsidP="00FB5279">
      <w:pPr>
        <w:jc w:val="both"/>
        <w:rPr>
          <w:b/>
          <w:bCs/>
        </w:rPr>
      </w:pPr>
      <w:r w:rsidRPr="00EF0D42">
        <w:rPr>
          <w:b/>
          <w:bCs/>
        </w:rPr>
        <w:t xml:space="preserve">Proposal </w:t>
      </w:r>
      <w:r w:rsidR="00D74AF6" w:rsidRPr="00EF0D42">
        <w:rPr>
          <w:b/>
          <w:bCs/>
        </w:rPr>
        <w:t>3</w:t>
      </w:r>
      <w:r w:rsidRPr="00EF0D42">
        <w:rPr>
          <w:b/>
          <w:bCs/>
        </w:rPr>
        <w:t xml:space="preserve">: </w:t>
      </w:r>
      <w:bookmarkStart w:id="3" w:name="_Toc134686389"/>
      <w:r w:rsidR="00BC4447" w:rsidRPr="00EF0D42">
        <w:rPr>
          <w:b/>
          <w:bCs/>
        </w:rPr>
        <w:t>Specify a timeline for a UE to indicate unused CG occasions in a period of a single CG configuration.</w:t>
      </w:r>
      <w:bookmarkEnd w:id="3"/>
    </w:p>
    <w:p w14:paraId="7EE40FFA" w14:textId="77777777" w:rsidR="00BC4447" w:rsidRPr="00EF0D42" w:rsidRDefault="00BC4447" w:rsidP="007574BC">
      <w:pPr>
        <w:jc w:val="both"/>
        <w:rPr>
          <w:b/>
          <w:bCs/>
          <w:szCs w:val="22"/>
        </w:rPr>
      </w:pPr>
    </w:p>
    <w:p w14:paraId="6307BB7B" w14:textId="56B5BEF9" w:rsidR="001D421C" w:rsidRPr="00096854" w:rsidRDefault="001D421C" w:rsidP="007574BC">
      <w:pPr>
        <w:pStyle w:val="Caption"/>
        <w:rPr>
          <w:rFonts w:ascii="Times New Roman" w:hAnsi="Times New Roman"/>
        </w:rPr>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7B29F37E" w:rsidR="006329B7" w:rsidRDefault="006329B7" w:rsidP="00E074D7">
      <w:pPr>
        <w:jc w:val="both"/>
      </w:pPr>
      <w:r>
        <w:t xml:space="preserve">In this contribution, we </w:t>
      </w:r>
      <w:r w:rsidR="00B82530">
        <w:t xml:space="preserve">have provided </w:t>
      </w:r>
      <w:r w:rsidR="005957A9">
        <w:rPr>
          <w:lang w:val="en-US" w:eastAsia="x-none"/>
        </w:rPr>
        <w:t>our views on the mechanisms to improve XR capacity, particularly on the configured grant aspects</w:t>
      </w:r>
      <w:r w:rsidR="00B82530">
        <w:rPr>
          <w:lang w:val="en-US" w:eastAsia="x-none"/>
        </w:rPr>
        <w:t>. We have the</w:t>
      </w:r>
      <w:r>
        <w:t xml:space="preserve"> following </w:t>
      </w:r>
      <w:r w:rsidR="00C157FC">
        <w:t>proposals</w:t>
      </w:r>
      <w:r>
        <w:t>:</w:t>
      </w:r>
    </w:p>
    <w:p w14:paraId="47C15AF6" w14:textId="77777777" w:rsidR="001B0A7A" w:rsidRPr="006B73A3" w:rsidRDefault="001B0A7A" w:rsidP="001B0A7A">
      <w:pPr>
        <w:pStyle w:val="Caption"/>
        <w:jc w:val="both"/>
        <w:rPr>
          <w:rFonts w:ascii="Times New Roman" w:hAnsi="Times New Roman"/>
        </w:rPr>
      </w:pPr>
      <w:r w:rsidRPr="006B73A3">
        <w:rPr>
          <w:rFonts w:ascii="Times New Roman" w:hAnsi="Times New Roman"/>
        </w:rPr>
        <w:t xml:space="preserve">Proposal </w:t>
      </w:r>
      <w:r w:rsidRPr="006B73A3">
        <w:rPr>
          <w:rFonts w:ascii="Times New Roman" w:hAnsi="Times New Roman"/>
        </w:rPr>
        <w:fldChar w:fldCharType="begin"/>
      </w:r>
      <w:r w:rsidRPr="006B73A3">
        <w:rPr>
          <w:rFonts w:ascii="Times New Roman" w:hAnsi="Times New Roman"/>
        </w:rPr>
        <w:instrText xml:space="preserve"> SEQ Proposal \* ARABIC </w:instrText>
      </w:r>
      <w:r w:rsidRPr="006B73A3">
        <w:rPr>
          <w:rFonts w:ascii="Times New Roman" w:hAnsi="Times New Roman"/>
        </w:rPr>
        <w:fldChar w:fldCharType="separate"/>
      </w:r>
      <w:r w:rsidRPr="006B73A3">
        <w:rPr>
          <w:rFonts w:ascii="Times New Roman" w:hAnsi="Times New Roman"/>
          <w:noProof/>
        </w:rPr>
        <w:t>1</w:t>
      </w:r>
      <w:r w:rsidRPr="006B73A3">
        <w:rPr>
          <w:rFonts w:ascii="Times New Roman" w:hAnsi="Times New Roman"/>
          <w:noProof/>
        </w:rPr>
        <w:fldChar w:fldCharType="end"/>
      </w:r>
      <w:r w:rsidRPr="006B73A3">
        <w:rPr>
          <w:rFonts w:ascii="Times New Roman" w:hAnsi="Times New Roman"/>
        </w:rPr>
        <w:t>: From RRC configuration perspective, there should be two configurations: the configuration</w:t>
      </w:r>
      <w:r>
        <w:rPr>
          <w:rFonts w:ascii="Times New Roman" w:hAnsi="Times New Roman"/>
        </w:rPr>
        <w:t xml:space="preserve"> of the </w:t>
      </w:r>
      <w:r w:rsidRPr="006B73A3">
        <w:rPr>
          <w:rFonts w:ascii="Times New Roman" w:hAnsi="Times New Roman"/>
        </w:rPr>
        <w:t>main occasion (i.e., the legacy configuration) and the configuration</w:t>
      </w:r>
      <w:r>
        <w:rPr>
          <w:rFonts w:ascii="Times New Roman" w:hAnsi="Times New Roman"/>
        </w:rPr>
        <w:t xml:space="preserve"> of </w:t>
      </w:r>
      <w:r w:rsidRPr="006B73A3">
        <w:rPr>
          <w:rFonts w:ascii="Times New Roman" w:hAnsi="Times New Roman"/>
        </w:rPr>
        <w:t>the number of supplementary occasions within a period of a single CG configuration.</w:t>
      </w:r>
    </w:p>
    <w:p w14:paraId="5FCB6981" w14:textId="70F5DAFF" w:rsidR="001B0A7A" w:rsidRDefault="001B0A7A" w:rsidP="001B0A7A">
      <w:pPr>
        <w:jc w:val="both"/>
        <w:rPr>
          <w:b/>
          <w:bCs/>
        </w:rPr>
      </w:pPr>
      <w:r w:rsidRPr="00D635B2">
        <w:rPr>
          <w:b/>
          <w:bCs/>
        </w:rPr>
        <w:t xml:space="preserve">Proposal 2: From RRC configuration perspective, the number of supplementary occasions should be RRC configured </w:t>
      </w:r>
      <w:r>
        <w:rPr>
          <w:b/>
          <w:bCs/>
        </w:rPr>
        <w:t xml:space="preserve">(i.e., semi-static) </w:t>
      </w:r>
      <w:r w:rsidRPr="00D635B2">
        <w:rPr>
          <w:b/>
          <w:bCs/>
        </w:rPr>
        <w:t xml:space="preserve">regardless of whether they are used or </w:t>
      </w:r>
      <w:r w:rsidR="00815D79">
        <w:rPr>
          <w:b/>
          <w:bCs/>
        </w:rPr>
        <w:t>un</w:t>
      </w:r>
      <w:r w:rsidRPr="00D635B2">
        <w:rPr>
          <w:b/>
          <w:bCs/>
        </w:rPr>
        <w:t xml:space="preserve">used and </w:t>
      </w:r>
      <w:r>
        <w:rPr>
          <w:b/>
          <w:bCs/>
        </w:rPr>
        <w:t xml:space="preserve">all should </w:t>
      </w:r>
      <w:r w:rsidRPr="00D635B2">
        <w:rPr>
          <w:b/>
          <w:bCs/>
        </w:rPr>
        <w:t xml:space="preserve">have an equal </w:t>
      </w:r>
      <w:r>
        <w:rPr>
          <w:b/>
          <w:bCs/>
        </w:rPr>
        <w:t>offset</w:t>
      </w:r>
      <w:r w:rsidRPr="00D635B2">
        <w:rPr>
          <w:b/>
          <w:bCs/>
        </w:rPr>
        <w:t xml:space="preserve">/gap between </w:t>
      </w:r>
      <w:r>
        <w:rPr>
          <w:b/>
          <w:bCs/>
        </w:rPr>
        <w:t xml:space="preserve">them, starting from the main </w:t>
      </w:r>
      <w:r w:rsidRPr="00D635B2">
        <w:rPr>
          <w:b/>
          <w:bCs/>
        </w:rPr>
        <w:t xml:space="preserve">occasion. The </w:t>
      </w:r>
      <w:r>
        <w:rPr>
          <w:b/>
          <w:bCs/>
        </w:rPr>
        <w:t>offset</w:t>
      </w:r>
      <w:r w:rsidRPr="00D635B2">
        <w:rPr>
          <w:b/>
          <w:bCs/>
        </w:rPr>
        <w:t>/gap could be zero (i.e., contiguous).</w:t>
      </w:r>
    </w:p>
    <w:p w14:paraId="47AD157B" w14:textId="77777777" w:rsidR="00EF0D42" w:rsidRPr="00EF0D42" w:rsidRDefault="00EF0D42" w:rsidP="00EF0D42">
      <w:pPr>
        <w:jc w:val="both"/>
        <w:rPr>
          <w:b/>
          <w:bCs/>
        </w:rPr>
      </w:pPr>
      <w:r w:rsidRPr="00EF0D42">
        <w:rPr>
          <w:b/>
          <w:bCs/>
        </w:rPr>
        <w:t>Proposal 3: Specify a timeline for a UE to indicate unused CG occasions in a period of a single CG configuration.</w:t>
      </w:r>
    </w:p>
    <w:p w14:paraId="4A34EF25" w14:textId="77777777" w:rsidR="002862ED" w:rsidRPr="00EF0D42" w:rsidRDefault="002862ED" w:rsidP="002862ED">
      <w:pPr>
        <w:jc w:val="both"/>
        <w:rPr>
          <w:b/>
          <w:bCs/>
          <w:szCs w:val="22"/>
        </w:rPr>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1D6C8D0F" w14:textId="0C4F2004" w:rsidR="001D2B9B" w:rsidRDefault="00EF1B25" w:rsidP="00B66C56">
      <w:pPr>
        <w:pStyle w:val="ListParagraph"/>
        <w:numPr>
          <w:ilvl w:val="0"/>
          <w:numId w:val="11"/>
        </w:numPr>
        <w:ind w:left="426" w:hanging="426"/>
      </w:pPr>
      <w:bookmarkStart w:id="4" w:name="_Ref61535913"/>
      <w:bookmarkStart w:id="5" w:name="_Ref71022775"/>
      <w:bookmarkStart w:id="6"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4"/>
      <w:bookmarkEnd w:id="5"/>
      <w:r w:rsidR="00776B07">
        <w:t>2</w:t>
      </w:r>
      <w:bookmarkEnd w:id="6"/>
    </w:p>
    <w:p w14:paraId="528BEF53" w14:textId="4C63E0A4" w:rsidR="004B1DF2" w:rsidRDefault="00C82DD0" w:rsidP="00B66C56">
      <w:pPr>
        <w:pStyle w:val="ListParagraph"/>
        <w:numPr>
          <w:ilvl w:val="0"/>
          <w:numId w:val="11"/>
        </w:numPr>
        <w:ind w:left="426" w:hanging="426"/>
      </w:pPr>
      <w:bookmarkStart w:id="7" w:name="_Ref127178092"/>
      <w:r>
        <w:t>RP-22</w:t>
      </w:r>
      <w:r w:rsidR="00ED7034">
        <w:t>3187, “Study on XR enhancements for NR (TR 38.835 V1.0.0)”, December 2022</w:t>
      </w:r>
      <w:bookmarkEnd w:id="7"/>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BB04" w14:textId="77777777" w:rsidR="00E15FB6" w:rsidRDefault="00E15FB6">
      <w:r>
        <w:separator/>
      </w:r>
    </w:p>
  </w:endnote>
  <w:endnote w:type="continuationSeparator" w:id="0">
    <w:p w14:paraId="155F85A2" w14:textId="77777777" w:rsidR="00E15FB6" w:rsidRDefault="00E15FB6">
      <w:r>
        <w:continuationSeparator/>
      </w:r>
    </w:p>
  </w:endnote>
  <w:endnote w:type="continuationNotice" w:id="1">
    <w:p w14:paraId="7BE3320C" w14:textId="77777777" w:rsidR="00E15FB6" w:rsidRDefault="00E15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616C" w14:textId="77777777" w:rsidR="00E15FB6" w:rsidRDefault="00E15FB6">
      <w:r>
        <w:separator/>
      </w:r>
    </w:p>
  </w:footnote>
  <w:footnote w:type="continuationSeparator" w:id="0">
    <w:p w14:paraId="6FA020BD" w14:textId="77777777" w:rsidR="00E15FB6" w:rsidRDefault="00E15FB6">
      <w:r>
        <w:continuationSeparator/>
      </w:r>
    </w:p>
  </w:footnote>
  <w:footnote w:type="continuationNotice" w:id="1">
    <w:p w14:paraId="5503F912" w14:textId="77777777" w:rsidR="00E15FB6" w:rsidRDefault="00E15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9"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1B7713"/>
    <w:multiLevelType w:val="multilevel"/>
    <w:tmpl w:val="51524490"/>
    <w:numStyleLink w:val="Headings"/>
  </w:abstractNum>
  <w:abstractNum w:abstractNumId="2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4"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3"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7444201">
    <w:abstractNumId w:val="66"/>
  </w:num>
  <w:num w:numId="2" w16cid:durableId="474420293">
    <w:abstractNumId w:val="52"/>
  </w:num>
  <w:num w:numId="3" w16cid:durableId="395668597">
    <w:abstractNumId w:val="39"/>
  </w:num>
  <w:num w:numId="4" w16cid:durableId="1739284077">
    <w:abstractNumId w:val="13"/>
  </w:num>
  <w:num w:numId="5" w16cid:durableId="176425958">
    <w:abstractNumId w:val="0"/>
  </w:num>
  <w:num w:numId="6" w16cid:durableId="787700209">
    <w:abstractNumId w:val="31"/>
  </w:num>
  <w:num w:numId="7" w16cid:durableId="656763610">
    <w:abstractNumId w:val="79"/>
  </w:num>
  <w:num w:numId="8" w16cid:durableId="401297081">
    <w:abstractNumId w:val="3"/>
  </w:num>
  <w:num w:numId="9" w16cid:durableId="113329313">
    <w:abstractNumId w:val="75"/>
  </w:num>
  <w:num w:numId="10" w16cid:durableId="1923642671">
    <w:abstractNumId w:val="69"/>
  </w:num>
  <w:num w:numId="11" w16cid:durableId="1801067727">
    <w:abstractNumId w:val="72"/>
  </w:num>
  <w:num w:numId="12" w16cid:durableId="1253969097">
    <w:abstractNumId w:val="49"/>
  </w:num>
  <w:num w:numId="13" w16cid:durableId="408430202">
    <w:abstractNumId w:val="37"/>
  </w:num>
  <w:num w:numId="14" w16cid:durableId="1891840740">
    <w:abstractNumId w:val="51"/>
  </w:num>
  <w:num w:numId="15" w16cid:durableId="572811871">
    <w:abstractNumId w:val="42"/>
  </w:num>
  <w:num w:numId="16" w16cid:durableId="1890800943">
    <w:abstractNumId w:val="56"/>
  </w:num>
  <w:num w:numId="17" w16cid:durableId="2102025346">
    <w:abstractNumId w:val="80"/>
  </w:num>
  <w:num w:numId="18" w16cid:durableId="1927811438">
    <w:abstractNumId w:val="40"/>
  </w:num>
  <w:num w:numId="19" w16cid:durableId="656569357">
    <w:abstractNumId w:val="57"/>
  </w:num>
  <w:num w:numId="20" w16cid:durableId="811948528">
    <w:abstractNumId w:val="76"/>
  </w:num>
  <w:num w:numId="21" w16cid:durableId="1049838685">
    <w:abstractNumId w:val="50"/>
  </w:num>
  <w:num w:numId="22" w16cid:durableId="777674739">
    <w:abstractNumId w:val="5"/>
  </w:num>
  <w:num w:numId="23" w16cid:durableId="1465123341">
    <w:abstractNumId w:val="11"/>
  </w:num>
  <w:num w:numId="24" w16cid:durableId="1766999126">
    <w:abstractNumId w:val="68"/>
  </w:num>
  <w:num w:numId="25" w16cid:durableId="1846944688">
    <w:abstractNumId w:val="7"/>
  </w:num>
  <w:num w:numId="26" w16cid:durableId="1420129619">
    <w:abstractNumId w:val="43"/>
  </w:num>
  <w:num w:numId="27" w16cid:durableId="397747574">
    <w:abstractNumId w:val="44"/>
  </w:num>
  <w:num w:numId="28" w16cid:durableId="1087921622">
    <w:abstractNumId w:val="74"/>
  </w:num>
  <w:num w:numId="29" w16cid:durableId="1847472656">
    <w:abstractNumId w:val="53"/>
  </w:num>
  <w:num w:numId="30" w16cid:durableId="882253382">
    <w:abstractNumId w:val="36"/>
  </w:num>
  <w:num w:numId="31" w16cid:durableId="1712068654">
    <w:abstractNumId w:val="2"/>
  </w:num>
  <w:num w:numId="32" w16cid:durableId="1232891273">
    <w:abstractNumId w:val="48"/>
  </w:num>
  <w:num w:numId="33" w16cid:durableId="1980962125">
    <w:abstractNumId w:val="58"/>
  </w:num>
  <w:num w:numId="34" w16cid:durableId="315457461">
    <w:abstractNumId w:val="32"/>
  </w:num>
  <w:num w:numId="35" w16cid:durableId="1141390195">
    <w:abstractNumId w:val="25"/>
  </w:num>
  <w:num w:numId="36" w16cid:durableId="1586063341">
    <w:abstractNumId w:val="67"/>
  </w:num>
  <w:num w:numId="37" w16cid:durableId="149175514">
    <w:abstractNumId w:val="35"/>
  </w:num>
  <w:num w:numId="38" w16cid:durableId="718012614">
    <w:abstractNumId w:val="6"/>
  </w:num>
  <w:num w:numId="39" w16cid:durableId="1684162038">
    <w:abstractNumId w:val="27"/>
  </w:num>
  <w:num w:numId="40" w16cid:durableId="1391807723">
    <w:abstractNumId w:val="46"/>
  </w:num>
  <w:num w:numId="41" w16cid:durableId="1391533300">
    <w:abstractNumId w:val="22"/>
  </w:num>
  <w:num w:numId="42" w16cid:durableId="1858033560">
    <w:abstractNumId w:val="70"/>
  </w:num>
  <w:num w:numId="43" w16cid:durableId="870192372">
    <w:abstractNumId w:val="19"/>
  </w:num>
  <w:num w:numId="44" w16cid:durableId="388118688">
    <w:abstractNumId w:val="14"/>
  </w:num>
  <w:num w:numId="45" w16cid:durableId="1197810824">
    <w:abstractNumId w:val="47"/>
  </w:num>
  <w:num w:numId="46" w16cid:durableId="787747676">
    <w:abstractNumId w:val="28"/>
  </w:num>
  <w:num w:numId="47" w16cid:durableId="1017928316">
    <w:abstractNumId w:val="45"/>
  </w:num>
  <w:num w:numId="48" w16cid:durableId="904528325">
    <w:abstractNumId w:val="16"/>
  </w:num>
  <w:num w:numId="49" w16cid:durableId="1761441938">
    <w:abstractNumId w:val="23"/>
  </w:num>
  <w:num w:numId="50" w16cid:durableId="2124035745">
    <w:abstractNumId w:val="29"/>
  </w:num>
  <w:num w:numId="51" w16cid:durableId="1126587850">
    <w:abstractNumId w:val="17"/>
  </w:num>
  <w:num w:numId="52" w16cid:durableId="1578442953">
    <w:abstractNumId w:val="64"/>
  </w:num>
  <w:num w:numId="53" w16cid:durableId="845169132">
    <w:abstractNumId w:val="12"/>
  </w:num>
  <w:num w:numId="54" w16cid:durableId="798884029">
    <w:abstractNumId w:val="34"/>
  </w:num>
  <w:num w:numId="55" w16cid:durableId="338122051">
    <w:abstractNumId w:val="55"/>
  </w:num>
  <w:num w:numId="56" w16cid:durableId="1753894482">
    <w:abstractNumId w:val="15"/>
  </w:num>
  <w:num w:numId="57" w16cid:durableId="1339623172">
    <w:abstractNumId w:val="8"/>
  </w:num>
  <w:num w:numId="58" w16cid:durableId="139806641">
    <w:abstractNumId w:val="33"/>
  </w:num>
  <w:num w:numId="59" w16cid:durableId="710377124">
    <w:abstractNumId w:val="18"/>
  </w:num>
  <w:num w:numId="60" w16cid:durableId="841972137">
    <w:abstractNumId w:val="62"/>
  </w:num>
  <w:num w:numId="61" w16cid:durableId="621153858">
    <w:abstractNumId w:val="30"/>
  </w:num>
  <w:num w:numId="62" w16cid:durableId="452098291">
    <w:abstractNumId w:val="61"/>
  </w:num>
  <w:num w:numId="63" w16cid:durableId="927423996">
    <w:abstractNumId w:val="9"/>
  </w:num>
  <w:num w:numId="64" w16cid:durableId="880635388">
    <w:abstractNumId w:val="54"/>
  </w:num>
  <w:num w:numId="65" w16cid:durableId="934555882">
    <w:abstractNumId w:val="21"/>
  </w:num>
  <w:num w:numId="66" w16cid:durableId="677582858">
    <w:abstractNumId w:val="54"/>
  </w:num>
  <w:num w:numId="67" w16cid:durableId="497578729">
    <w:abstractNumId w:val="20"/>
  </w:num>
  <w:num w:numId="68" w16cid:durableId="1893538702">
    <w:abstractNumId w:val="54"/>
  </w:num>
  <w:num w:numId="69" w16cid:durableId="1393886182">
    <w:abstractNumId w:val="10"/>
  </w:num>
  <w:num w:numId="70" w16cid:durableId="433093268">
    <w:abstractNumId w:val="19"/>
  </w:num>
  <w:num w:numId="71" w16cid:durableId="1356927240">
    <w:abstractNumId w:val="19"/>
  </w:num>
  <w:num w:numId="72" w16cid:durableId="242033722">
    <w:abstractNumId w:val="24"/>
  </w:num>
  <w:num w:numId="73" w16cid:durableId="513690660">
    <w:abstractNumId w:val="60"/>
  </w:num>
  <w:num w:numId="74" w16cid:durableId="1791704284">
    <w:abstractNumId w:val="71"/>
  </w:num>
  <w:num w:numId="75" w16cid:durableId="106825313">
    <w:abstractNumId w:val="38"/>
  </w:num>
  <w:num w:numId="76" w16cid:durableId="1117795742">
    <w:abstractNumId w:val="59"/>
  </w:num>
  <w:num w:numId="77" w16cid:durableId="2021853018">
    <w:abstractNumId w:val="4"/>
  </w:num>
  <w:num w:numId="78" w16cid:durableId="1535846136">
    <w:abstractNumId w:val="65"/>
  </w:num>
  <w:num w:numId="79" w16cid:durableId="550771720">
    <w:abstractNumId w:val="26"/>
  </w:num>
  <w:num w:numId="80" w16cid:durableId="1966807764">
    <w:abstractNumId w:val="41"/>
  </w:num>
  <w:num w:numId="81" w16cid:durableId="1148744957">
    <w:abstractNumId w:val="78"/>
  </w:num>
  <w:num w:numId="82" w16cid:durableId="962033449">
    <w:abstractNumId w:val="63"/>
  </w:num>
  <w:num w:numId="83" w16cid:durableId="287662919">
    <w:abstractNumId w:val="73"/>
  </w:num>
  <w:num w:numId="84" w16cid:durableId="1530293505">
    <w:abstractNumId w:val="1"/>
  </w:num>
  <w:num w:numId="85" w16cid:durableId="178859524">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63B8"/>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18"/>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281"/>
    <w:rsid w:val="00030F0D"/>
    <w:rsid w:val="00031453"/>
    <w:rsid w:val="0003162E"/>
    <w:rsid w:val="00031AA4"/>
    <w:rsid w:val="00032A02"/>
    <w:rsid w:val="00033426"/>
    <w:rsid w:val="00034A05"/>
    <w:rsid w:val="00034C75"/>
    <w:rsid w:val="0003629C"/>
    <w:rsid w:val="000370C7"/>
    <w:rsid w:val="00037D7E"/>
    <w:rsid w:val="00037FAD"/>
    <w:rsid w:val="00040836"/>
    <w:rsid w:val="00040B7B"/>
    <w:rsid w:val="00040D7A"/>
    <w:rsid w:val="000413D3"/>
    <w:rsid w:val="0004157F"/>
    <w:rsid w:val="000419CE"/>
    <w:rsid w:val="00041A7F"/>
    <w:rsid w:val="00041D26"/>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0AC8"/>
    <w:rsid w:val="00071A2D"/>
    <w:rsid w:val="00071DCE"/>
    <w:rsid w:val="000723EE"/>
    <w:rsid w:val="00072409"/>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854"/>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1E51"/>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B7051"/>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B45"/>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284"/>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93"/>
    <w:rsid w:val="00106A46"/>
    <w:rsid w:val="00106D5C"/>
    <w:rsid w:val="00106E4E"/>
    <w:rsid w:val="001074FE"/>
    <w:rsid w:val="00107B78"/>
    <w:rsid w:val="00107F5C"/>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2B49"/>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2690"/>
    <w:rsid w:val="00194732"/>
    <w:rsid w:val="0019605F"/>
    <w:rsid w:val="001960DD"/>
    <w:rsid w:val="00196366"/>
    <w:rsid w:val="001965E2"/>
    <w:rsid w:val="001971E6"/>
    <w:rsid w:val="0019768F"/>
    <w:rsid w:val="001A03E7"/>
    <w:rsid w:val="001A05C2"/>
    <w:rsid w:val="001A0825"/>
    <w:rsid w:val="001A0F2E"/>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7C2"/>
    <w:rsid w:val="001A7A8E"/>
    <w:rsid w:val="001A7E8A"/>
    <w:rsid w:val="001B011E"/>
    <w:rsid w:val="001B0A7A"/>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3B0"/>
    <w:rsid w:val="001D1CB2"/>
    <w:rsid w:val="001D24D3"/>
    <w:rsid w:val="001D2574"/>
    <w:rsid w:val="001D2922"/>
    <w:rsid w:val="001D2B9B"/>
    <w:rsid w:val="001D39F0"/>
    <w:rsid w:val="001D3BFC"/>
    <w:rsid w:val="001D41C2"/>
    <w:rsid w:val="001D421C"/>
    <w:rsid w:val="001D49E5"/>
    <w:rsid w:val="001D4C19"/>
    <w:rsid w:val="001D54FD"/>
    <w:rsid w:val="001D5655"/>
    <w:rsid w:val="001D569E"/>
    <w:rsid w:val="001D58A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3F15"/>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0EA1"/>
    <w:rsid w:val="00212BBD"/>
    <w:rsid w:val="00212D85"/>
    <w:rsid w:val="00212E0E"/>
    <w:rsid w:val="002130B9"/>
    <w:rsid w:val="002136ED"/>
    <w:rsid w:val="00214008"/>
    <w:rsid w:val="002146BE"/>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82"/>
    <w:rsid w:val="00277FD6"/>
    <w:rsid w:val="00280B46"/>
    <w:rsid w:val="00280ED8"/>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2ED"/>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918"/>
    <w:rsid w:val="00295436"/>
    <w:rsid w:val="00295608"/>
    <w:rsid w:val="00295965"/>
    <w:rsid w:val="00295ADF"/>
    <w:rsid w:val="00296EA9"/>
    <w:rsid w:val="002A006C"/>
    <w:rsid w:val="002A020C"/>
    <w:rsid w:val="002A0221"/>
    <w:rsid w:val="002A0D00"/>
    <w:rsid w:val="002A1E8A"/>
    <w:rsid w:val="002A28D3"/>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52B"/>
    <w:rsid w:val="002B3E6B"/>
    <w:rsid w:val="002B41C9"/>
    <w:rsid w:val="002B47CD"/>
    <w:rsid w:val="002B54B3"/>
    <w:rsid w:val="002B56B8"/>
    <w:rsid w:val="002B5807"/>
    <w:rsid w:val="002B6110"/>
    <w:rsid w:val="002B66DC"/>
    <w:rsid w:val="002B69A7"/>
    <w:rsid w:val="002B6FD4"/>
    <w:rsid w:val="002B7FD8"/>
    <w:rsid w:val="002C0014"/>
    <w:rsid w:val="002C0164"/>
    <w:rsid w:val="002C01D5"/>
    <w:rsid w:val="002C0504"/>
    <w:rsid w:val="002C06C6"/>
    <w:rsid w:val="002C13C7"/>
    <w:rsid w:val="002C148F"/>
    <w:rsid w:val="002C1958"/>
    <w:rsid w:val="002C1E04"/>
    <w:rsid w:val="002C2394"/>
    <w:rsid w:val="002C2B86"/>
    <w:rsid w:val="002C4259"/>
    <w:rsid w:val="002C4536"/>
    <w:rsid w:val="002C4FB7"/>
    <w:rsid w:val="002C5650"/>
    <w:rsid w:val="002C6AF4"/>
    <w:rsid w:val="002C70F2"/>
    <w:rsid w:val="002C75C7"/>
    <w:rsid w:val="002D0D07"/>
    <w:rsid w:val="002D14A6"/>
    <w:rsid w:val="002D16F5"/>
    <w:rsid w:val="002D19D7"/>
    <w:rsid w:val="002D1FA5"/>
    <w:rsid w:val="002D20AA"/>
    <w:rsid w:val="002D2658"/>
    <w:rsid w:val="002D2660"/>
    <w:rsid w:val="002D4ADA"/>
    <w:rsid w:val="002D4E29"/>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E49"/>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2C8"/>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DD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8A3"/>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1EEB"/>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A28"/>
    <w:rsid w:val="00397BC7"/>
    <w:rsid w:val="003A004E"/>
    <w:rsid w:val="003A1646"/>
    <w:rsid w:val="003A1649"/>
    <w:rsid w:val="003A195F"/>
    <w:rsid w:val="003A1A45"/>
    <w:rsid w:val="003A212D"/>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336"/>
    <w:rsid w:val="003B090B"/>
    <w:rsid w:val="003B0AF1"/>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A36"/>
    <w:rsid w:val="003C1B2F"/>
    <w:rsid w:val="003C30A6"/>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1689"/>
    <w:rsid w:val="003D18CA"/>
    <w:rsid w:val="003D18CC"/>
    <w:rsid w:val="003D233F"/>
    <w:rsid w:val="003D241B"/>
    <w:rsid w:val="003D2B00"/>
    <w:rsid w:val="003D2B34"/>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6FC4"/>
    <w:rsid w:val="003D739A"/>
    <w:rsid w:val="003D7576"/>
    <w:rsid w:val="003D7FEF"/>
    <w:rsid w:val="003E04A3"/>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8A9"/>
    <w:rsid w:val="003F5F87"/>
    <w:rsid w:val="003F61CD"/>
    <w:rsid w:val="003F6A2F"/>
    <w:rsid w:val="003F6AAF"/>
    <w:rsid w:val="003F6AFF"/>
    <w:rsid w:val="003F79E0"/>
    <w:rsid w:val="004012D6"/>
    <w:rsid w:val="00401479"/>
    <w:rsid w:val="0040192D"/>
    <w:rsid w:val="00401C0B"/>
    <w:rsid w:val="00402551"/>
    <w:rsid w:val="0040270E"/>
    <w:rsid w:val="0040315B"/>
    <w:rsid w:val="004033CF"/>
    <w:rsid w:val="0040350E"/>
    <w:rsid w:val="00403B72"/>
    <w:rsid w:val="00404297"/>
    <w:rsid w:val="004042FC"/>
    <w:rsid w:val="004046F6"/>
    <w:rsid w:val="0040472F"/>
    <w:rsid w:val="004048F1"/>
    <w:rsid w:val="004050E4"/>
    <w:rsid w:val="00405514"/>
    <w:rsid w:val="00405AEB"/>
    <w:rsid w:val="004061A2"/>
    <w:rsid w:val="004062F2"/>
    <w:rsid w:val="00407B7D"/>
    <w:rsid w:val="00407DC9"/>
    <w:rsid w:val="00411571"/>
    <w:rsid w:val="00411708"/>
    <w:rsid w:val="00411A52"/>
    <w:rsid w:val="00412245"/>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77B"/>
    <w:rsid w:val="00422848"/>
    <w:rsid w:val="004238C6"/>
    <w:rsid w:val="0042486B"/>
    <w:rsid w:val="004248A2"/>
    <w:rsid w:val="00424956"/>
    <w:rsid w:val="004251BD"/>
    <w:rsid w:val="00425307"/>
    <w:rsid w:val="00426450"/>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890"/>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246"/>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31BE"/>
    <w:rsid w:val="004A324C"/>
    <w:rsid w:val="004A3318"/>
    <w:rsid w:val="004A4173"/>
    <w:rsid w:val="004A41B3"/>
    <w:rsid w:val="004A4615"/>
    <w:rsid w:val="004A4794"/>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599"/>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840"/>
    <w:rsid w:val="004D2FA2"/>
    <w:rsid w:val="004D34D2"/>
    <w:rsid w:val="004D3578"/>
    <w:rsid w:val="004D36A6"/>
    <w:rsid w:val="004D3D2A"/>
    <w:rsid w:val="004D3D5D"/>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5899"/>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5C53"/>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5C"/>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47D1"/>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5F83"/>
    <w:rsid w:val="00576978"/>
    <w:rsid w:val="00576CD3"/>
    <w:rsid w:val="00576DCA"/>
    <w:rsid w:val="0057746C"/>
    <w:rsid w:val="005776BC"/>
    <w:rsid w:val="00577751"/>
    <w:rsid w:val="00577F8A"/>
    <w:rsid w:val="0058059B"/>
    <w:rsid w:val="00580724"/>
    <w:rsid w:val="005811B2"/>
    <w:rsid w:val="00581500"/>
    <w:rsid w:val="005819FC"/>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0FA4"/>
    <w:rsid w:val="00591021"/>
    <w:rsid w:val="00592C87"/>
    <w:rsid w:val="00592CE4"/>
    <w:rsid w:val="00593D70"/>
    <w:rsid w:val="00593E66"/>
    <w:rsid w:val="00593F28"/>
    <w:rsid w:val="005945DC"/>
    <w:rsid w:val="00594D0B"/>
    <w:rsid w:val="00594DEA"/>
    <w:rsid w:val="005954F7"/>
    <w:rsid w:val="005957A9"/>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38A"/>
    <w:rsid w:val="005B0CFC"/>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B6CBE"/>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2B08"/>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398"/>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0783"/>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6DCC"/>
    <w:rsid w:val="00677C1E"/>
    <w:rsid w:val="00680238"/>
    <w:rsid w:val="006809E9"/>
    <w:rsid w:val="00680CAA"/>
    <w:rsid w:val="0068247D"/>
    <w:rsid w:val="00682C66"/>
    <w:rsid w:val="006830DC"/>
    <w:rsid w:val="00683893"/>
    <w:rsid w:val="00683A53"/>
    <w:rsid w:val="0068481E"/>
    <w:rsid w:val="006858AE"/>
    <w:rsid w:val="00685CE1"/>
    <w:rsid w:val="00686311"/>
    <w:rsid w:val="0068693C"/>
    <w:rsid w:val="00687AB3"/>
    <w:rsid w:val="00687DD9"/>
    <w:rsid w:val="006900D8"/>
    <w:rsid w:val="00690F63"/>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3A3"/>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6081"/>
    <w:rsid w:val="006C646B"/>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66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0A"/>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159"/>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6E5"/>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4BC"/>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590"/>
    <w:rsid w:val="0077298C"/>
    <w:rsid w:val="00773164"/>
    <w:rsid w:val="00773AC2"/>
    <w:rsid w:val="00773C6E"/>
    <w:rsid w:val="007742EA"/>
    <w:rsid w:val="0077446F"/>
    <w:rsid w:val="007745C8"/>
    <w:rsid w:val="007749BE"/>
    <w:rsid w:val="00774C47"/>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5BAD"/>
    <w:rsid w:val="00785D71"/>
    <w:rsid w:val="00786379"/>
    <w:rsid w:val="00786B1E"/>
    <w:rsid w:val="00786B3F"/>
    <w:rsid w:val="00787165"/>
    <w:rsid w:val="00787352"/>
    <w:rsid w:val="007874D4"/>
    <w:rsid w:val="00787AB2"/>
    <w:rsid w:val="00787B43"/>
    <w:rsid w:val="00787E5F"/>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712B"/>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B8E"/>
    <w:rsid w:val="007B58AD"/>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C03"/>
    <w:rsid w:val="007C53DE"/>
    <w:rsid w:val="007C5797"/>
    <w:rsid w:val="007C6AF3"/>
    <w:rsid w:val="007C6C00"/>
    <w:rsid w:val="007C732A"/>
    <w:rsid w:val="007C7979"/>
    <w:rsid w:val="007D0280"/>
    <w:rsid w:val="007D060C"/>
    <w:rsid w:val="007D0F67"/>
    <w:rsid w:val="007D1AE1"/>
    <w:rsid w:val="007D212B"/>
    <w:rsid w:val="007D3E92"/>
    <w:rsid w:val="007D532F"/>
    <w:rsid w:val="007D54D6"/>
    <w:rsid w:val="007D55FA"/>
    <w:rsid w:val="007D5835"/>
    <w:rsid w:val="007D59B0"/>
    <w:rsid w:val="007D5AB2"/>
    <w:rsid w:val="007D5BEE"/>
    <w:rsid w:val="007D6EC4"/>
    <w:rsid w:val="007D713F"/>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1BF"/>
    <w:rsid w:val="0081359C"/>
    <w:rsid w:val="00813EE0"/>
    <w:rsid w:val="00814495"/>
    <w:rsid w:val="00814AAC"/>
    <w:rsid w:val="0081566F"/>
    <w:rsid w:val="00815802"/>
    <w:rsid w:val="00815969"/>
    <w:rsid w:val="00815B97"/>
    <w:rsid w:val="00815D79"/>
    <w:rsid w:val="00816FE0"/>
    <w:rsid w:val="00817DC1"/>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064B"/>
    <w:rsid w:val="008316C0"/>
    <w:rsid w:val="00832E78"/>
    <w:rsid w:val="0083435A"/>
    <w:rsid w:val="00834A52"/>
    <w:rsid w:val="00834E64"/>
    <w:rsid w:val="00835071"/>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36A9"/>
    <w:rsid w:val="0085481A"/>
    <w:rsid w:val="00854970"/>
    <w:rsid w:val="00854BB5"/>
    <w:rsid w:val="008551F3"/>
    <w:rsid w:val="00855574"/>
    <w:rsid w:val="0085567B"/>
    <w:rsid w:val="00855F39"/>
    <w:rsid w:val="0085681C"/>
    <w:rsid w:val="00856FF2"/>
    <w:rsid w:val="00857250"/>
    <w:rsid w:val="00857AD4"/>
    <w:rsid w:val="008613BD"/>
    <w:rsid w:val="0086257C"/>
    <w:rsid w:val="008627E9"/>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19DA"/>
    <w:rsid w:val="00883256"/>
    <w:rsid w:val="0088339A"/>
    <w:rsid w:val="00883898"/>
    <w:rsid w:val="00883A53"/>
    <w:rsid w:val="00883BBE"/>
    <w:rsid w:val="0088489A"/>
    <w:rsid w:val="00885702"/>
    <w:rsid w:val="00885919"/>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7B80"/>
    <w:rsid w:val="008C0248"/>
    <w:rsid w:val="008C0844"/>
    <w:rsid w:val="008C0F9F"/>
    <w:rsid w:val="008C1385"/>
    <w:rsid w:val="008C23F8"/>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7FE"/>
    <w:rsid w:val="008D0C98"/>
    <w:rsid w:val="008D11E9"/>
    <w:rsid w:val="008D1848"/>
    <w:rsid w:val="008D1D2C"/>
    <w:rsid w:val="008D2751"/>
    <w:rsid w:val="008D2970"/>
    <w:rsid w:val="008D2BF3"/>
    <w:rsid w:val="008D3F99"/>
    <w:rsid w:val="008D4C10"/>
    <w:rsid w:val="008D59D3"/>
    <w:rsid w:val="008D5A98"/>
    <w:rsid w:val="008D5E98"/>
    <w:rsid w:val="008D76C0"/>
    <w:rsid w:val="008D7818"/>
    <w:rsid w:val="008D7C42"/>
    <w:rsid w:val="008E013F"/>
    <w:rsid w:val="008E0FA5"/>
    <w:rsid w:val="008E21D7"/>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07341"/>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2C2"/>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11D4"/>
    <w:rsid w:val="0094124A"/>
    <w:rsid w:val="009412FA"/>
    <w:rsid w:val="0094200D"/>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28A"/>
    <w:rsid w:val="009518A6"/>
    <w:rsid w:val="00951944"/>
    <w:rsid w:val="009520DB"/>
    <w:rsid w:val="00952AE1"/>
    <w:rsid w:val="00952D7D"/>
    <w:rsid w:val="00953616"/>
    <w:rsid w:val="009538D1"/>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1CB4"/>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8E3"/>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6F"/>
    <w:rsid w:val="00A17197"/>
    <w:rsid w:val="00A171FB"/>
    <w:rsid w:val="00A21607"/>
    <w:rsid w:val="00A219DD"/>
    <w:rsid w:val="00A21A9A"/>
    <w:rsid w:val="00A22D4B"/>
    <w:rsid w:val="00A23605"/>
    <w:rsid w:val="00A236DC"/>
    <w:rsid w:val="00A2483D"/>
    <w:rsid w:val="00A2488B"/>
    <w:rsid w:val="00A2525D"/>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716D"/>
    <w:rsid w:val="00A473E1"/>
    <w:rsid w:val="00A47437"/>
    <w:rsid w:val="00A4775E"/>
    <w:rsid w:val="00A477E0"/>
    <w:rsid w:val="00A47843"/>
    <w:rsid w:val="00A506BC"/>
    <w:rsid w:val="00A50A93"/>
    <w:rsid w:val="00A517C2"/>
    <w:rsid w:val="00A52048"/>
    <w:rsid w:val="00A52115"/>
    <w:rsid w:val="00A528BA"/>
    <w:rsid w:val="00A52D32"/>
    <w:rsid w:val="00A54759"/>
    <w:rsid w:val="00A54BF7"/>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8E3"/>
    <w:rsid w:val="00A62A53"/>
    <w:rsid w:val="00A635D1"/>
    <w:rsid w:val="00A645AA"/>
    <w:rsid w:val="00A649C6"/>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7D8"/>
    <w:rsid w:val="00AB0C7C"/>
    <w:rsid w:val="00AB0F6C"/>
    <w:rsid w:val="00AB1010"/>
    <w:rsid w:val="00AB118C"/>
    <w:rsid w:val="00AB184E"/>
    <w:rsid w:val="00AB21C9"/>
    <w:rsid w:val="00AB269C"/>
    <w:rsid w:val="00AB33D7"/>
    <w:rsid w:val="00AB3422"/>
    <w:rsid w:val="00AB370D"/>
    <w:rsid w:val="00AB40C6"/>
    <w:rsid w:val="00AB4237"/>
    <w:rsid w:val="00AB4ED7"/>
    <w:rsid w:val="00AB4F7E"/>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B5B"/>
    <w:rsid w:val="00AC73D7"/>
    <w:rsid w:val="00AD00B9"/>
    <w:rsid w:val="00AD04EE"/>
    <w:rsid w:val="00AD0606"/>
    <w:rsid w:val="00AD0A16"/>
    <w:rsid w:val="00AD11DC"/>
    <w:rsid w:val="00AD17BB"/>
    <w:rsid w:val="00AD17DC"/>
    <w:rsid w:val="00AD3A0C"/>
    <w:rsid w:val="00AD3D63"/>
    <w:rsid w:val="00AD45C3"/>
    <w:rsid w:val="00AD496B"/>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2A75"/>
    <w:rsid w:val="00AE3768"/>
    <w:rsid w:val="00AE3812"/>
    <w:rsid w:val="00AE3ECF"/>
    <w:rsid w:val="00AE52A9"/>
    <w:rsid w:val="00AE5795"/>
    <w:rsid w:val="00AE5939"/>
    <w:rsid w:val="00AE5D2D"/>
    <w:rsid w:val="00AE7711"/>
    <w:rsid w:val="00AE7F75"/>
    <w:rsid w:val="00AF096B"/>
    <w:rsid w:val="00AF170D"/>
    <w:rsid w:val="00AF1F64"/>
    <w:rsid w:val="00AF2212"/>
    <w:rsid w:val="00AF2422"/>
    <w:rsid w:val="00AF2FBF"/>
    <w:rsid w:val="00AF307E"/>
    <w:rsid w:val="00AF3237"/>
    <w:rsid w:val="00AF3B7B"/>
    <w:rsid w:val="00AF3BB5"/>
    <w:rsid w:val="00AF421C"/>
    <w:rsid w:val="00AF4229"/>
    <w:rsid w:val="00AF4710"/>
    <w:rsid w:val="00AF500B"/>
    <w:rsid w:val="00AF508A"/>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1480"/>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641"/>
    <w:rsid w:val="00B35CB3"/>
    <w:rsid w:val="00B3669C"/>
    <w:rsid w:val="00B36CFF"/>
    <w:rsid w:val="00B372CD"/>
    <w:rsid w:val="00B372DF"/>
    <w:rsid w:val="00B37706"/>
    <w:rsid w:val="00B379EB"/>
    <w:rsid w:val="00B37E96"/>
    <w:rsid w:val="00B40962"/>
    <w:rsid w:val="00B40CFC"/>
    <w:rsid w:val="00B40E13"/>
    <w:rsid w:val="00B4110C"/>
    <w:rsid w:val="00B411E5"/>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122D"/>
    <w:rsid w:val="00B626E5"/>
    <w:rsid w:val="00B6362B"/>
    <w:rsid w:val="00B63862"/>
    <w:rsid w:val="00B64A49"/>
    <w:rsid w:val="00B659C7"/>
    <w:rsid w:val="00B65B6E"/>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530"/>
    <w:rsid w:val="00B82CC3"/>
    <w:rsid w:val="00B8343C"/>
    <w:rsid w:val="00B837E8"/>
    <w:rsid w:val="00B839FE"/>
    <w:rsid w:val="00B84AF5"/>
    <w:rsid w:val="00B85262"/>
    <w:rsid w:val="00B852F9"/>
    <w:rsid w:val="00B859B7"/>
    <w:rsid w:val="00B86CF2"/>
    <w:rsid w:val="00B875A8"/>
    <w:rsid w:val="00B90151"/>
    <w:rsid w:val="00B910D6"/>
    <w:rsid w:val="00B91197"/>
    <w:rsid w:val="00B914AC"/>
    <w:rsid w:val="00B93452"/>
    <w:rsid w:val="00B93537"/>
    <w:rsid w:val="00B935DA"/>
    <w:rsid w:val="00B9390C"/>
    <w:rsid w:val="00B93977"/>
    <w:rsid w:val="00B93B3F"/>
    <w:rsid w:val="00B94D9E"/>
    <w:rsid w:val="00B95CEE"/>
    <w:rsid w:val="00B95FCA"/>
    <w:rsid w:val="00B9600F"/>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5EB"/>
    <w:rsid w:val="00BB382D"/>
    <w:rsid w:val="00BB47FD"/>
    <w:rsid w:val="00BB54BF"/>
    <w:rsid w:val="00BB61F6"/>
    <w:rsid w:val="00BB6623"/>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447"/>
    <w:rsid w:val="00BC4FA2"/>
    <w:rsid w:val="00BC54A7"/>
    <w:rsid w:val="00BC568B"/>
    <w:rsid w:val="00BC57EC"/>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6CE"/>
    <w:rsid w:val="00BE18F3"/>
    <w:rsid w:val="00BE1D0E"/>
    <w:rsid w:val="00BE20EC"/>
    <w:rsid w:val="00BE264E"/>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57FC"/>
    <w:rsid w:val="00C1594F"/>
    <w:rsid w:val="00C161EE"/>
    <w:rsid w:val="00C168EE"/>
    <w:rsid w:val="00C16DA5"/>
    <w:rsid w:val="00C16FD2"/>
    <w:rsid w:val="00C1793D"/>
    <w:rsid w:val="00C17CE0"/>
    <w:rsid w:val="00C21664"/>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84D"/>
    <w:rsid w:val="00C4189D"/>
    <w:rsid w:val="00C41EEC"/>
    <w:rsid w:val="00C4266E"/>
    <w:rsid w:val="00C42DE2"/>
    <w:rsid w:val="00C4335D"/>
    <w:rsid w:val="00C4405F"/>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7D2"/>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2C1"/>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C25"/>
    <w:rsid w:val="00CD1E08"/>
    <w:rsid w:val="00CD2C22"/>
    <w:rsid w:val="00CD4064"/>
    <w:rsid w:val="00CD4791"/>
    <w:rsid w:val="00CD4BBD"/>
    <w:rsid w:val="00CD4E14"/>
    <w:rsid w:val="00CD545D"/>
    <w:rsid w:val="00CD5C4F"/>
    <w:rsid w:val="00CD6121"/>
    <w:rsid w:val="00CD68F5"/>
    <w:rsid w:val="00CD763C"/>
    <w:rsid w:val="00CD7BAE"/>
    <w:rsid w:val="00CE09B8"/>
    <w:rsid w:val="00CE0AA0"/>
    <w:rsid w:val="00CE0D75"/>
    <w:rsid w:val="00CE0E0C"/>
    <w:rsid w:val="00CE0F62"/>
    <w:rsid w:val="00CE18DB"/>
    <w:rsid w:val="00CE1AD1"/>
    <w:rsid w:val="00CE1EDE"/>
    <w:rsid w:val="00CE2269"/>
    <w:rsid w:val="00CE35AA"/>
    <w:rsid w:val="00CE4480"/>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0A0"/>
    <w:rsid w:val="00CF3F9F"/>
    <w:rsid w:val="00CF49BD"/>
    <w:rsid w:val="00CF5013"/>
    <w:rsid w:val="00CF5642"/>
    <w:rsid w:val="00CF5EBE"/>
    <w:rsid w:val="00CF6C34"/>
    <w:rsid w:val="00CF700B"/>
    <w:rsid w:val="00CF779F"/>
    <w:rsid w:val="00CFE197"/>
    <w:rsid w:val="00D0002B"/>
    <w:rsid w:val="00D01357"/>
    <w:rsid w:val="00D018A4"/>
    <w:rsid w:val="00D019DC"/>
    <w:rsid w:val="00D02343"/>
    <w:rsid w:val="00D02C5F"/>
    <w:rsid w:val="00D02D69"/>
    <w:rsid w:val="00D03D0B"/>
    <w:rsid w:val="00D04BEC"/>
    <w:rsid w:val="00D05592"/>
    <w:rsid w:val="00D05E50"/>
    <w:rsid w:val="00D05FC6"/>
    <w:rsid w:val="00D073D0"/>
    <w:rsid w:val="00D10487"/>
    <w:rsid w:val="00D10D89"/>
    <w:rsid w:val="00D10F03"/>
    <w:rsid w:val="00D11D0F"/>
    <w:rsid w:val="00D12239"/>
    <w:rsid w:val="00D1249E"/>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1E6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2CF"/>
    <w:rsid w:val="00D567A8"/>
    <w:rsid w:val="00D56B1F"/>
    <w:rsid w:val="00D574D2"/>
    <w:rsid w:val="00D57839"/>
    <w:rsid w:val="00D578EF"/>
    <w:rsid w:val="00D57BEC"/>
    <w:rsid w:val="00D60298"/>
    <w:rsid w:val="00D61EF7"/>
    <w:rsid w:val="00D626F0"/>
    <w:rsid w:val="00D635B2"/>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2862"/>
    <w:rsid w:val="00D73101"/>
    <w:rsid w:val="00D735CA"/>
    <w:rsid w:val="00D743FE"/>
    <w:rsid w:val="00D74424"/>
    <w:rsid w:val="00D747DB"/>
    <w:rsid w:val="00D74AF6"/>
    <w:rsid w:val="00D74D8C"/>
    <w:rsid w:val="00D74E3F"/>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4CEF"/>
    <w:rsid w:val="00DA63C9"/>
    <w:rsid w:val="00DA676F"/>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0C9"/>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6FE"/>
    <w:rsid w:val="00DE4F69"/>
    <w:rsid w:val="00DE5228"/>
    <w:rsid w:val="00DE52E9"/>
    <w:rsid w:val="00DE5C17"/>
    <w:rsid w:val="00DE5DA3"/>
    <w:rsid w:val="00DE6485"/>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4F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3"/>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5FB6"/>
    <w:rsid w:val="00E17065"/>
    <w:rsid w:val="00E2020F"/>
    <w:rsid w:val="00E21B7E"/>
    <w:rsid w:val="00E21F03"/>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A5C"/>
    <w:rsid w:val="00E44B2E"/>
    <w:rsid w:val="00E45277"/>
    <w:rsid w:val="00E45919"/>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ADF"/>
    <w:rsid w:val="00EA3F10"/>
    <w:rsid w:val="00EA40E1"/>
    <w:rsid w:val="00EA4DB2"/>
    <w:rsid w:val="00EA4FE7"/>
    <w:rsid w:val="00EA5162"/>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A84"/>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6EAF"/>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0D42"/>
    <w:rsid w:val="00EF132A"/>
    <w:rsid w:val="00EF140E"/>
    <w:rsid w:val="00EF169C"/>
    <w:rsid w:val="00EF1B25"/>
    <w:rsid w:val="00EF1C9C"/>
    <w:rsid w:val="00EF1F06"/>
    <w:rsid w:val="00EF2E1D"/>
    <w:rsid w:val="00EF33AA"/>
    <w:rsid w:val="00EF354A"/>
    <w:rsid w:val="00EF3670"/>
    <w:rsid w:val="00EF39ED"/>
    <w:rsid w:val="00EF407A"/>
    <w:rsid w:val="00EF5B34"/>
    <w:rsid w:val="00EF6059"/>
    <w:rsid w:val="00EF629F"/>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3D1B"/>
    <w:rsid w:val="00F04D30"/>
    <w:rsid w:val="00F04DF8"/>
    <w:rsid w:val="00F04FA4"/>
    <w:rsid w:val="00F051B1"/>
    <w:rsid w:val="00F056C6"/>
    <w:rsid w:val="00F05F7B"/>
    <w:rsid w:val="00F060FC"/>
    <w:rsid w:val="00F0642F"/>
    <w:rsid w:val="00F066EB"/>
    <w:rsid w:val="00F06717"/>
    <w:rsid w:val="00F07E05"/>
    <w:rsid w:val="00F10C25"/>
    <w:rsid w:val="00F10D88"/>
    <w:rsid w:val="00F1144F"/>
    <w:rsid w:val="00F12358"/>
    <w:rsid w:val="00F12DF2"/>
    <w:rsid w:val="00F133DA"/>
    <w:rsid w:val="00F13FCF"/>
    <w:rsid w:val="00F14004"/>
    <w:rsid w:val="00F14315"/>
    <w:rsid w:val="00F14807"/>
    <w:rsid w:val="00F1494B"/>
    <w:rsid w:val="00F14B29"/>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376D6"/>
    <w:rsid w:val="00F40443"/>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07"/>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386A"/>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019"/>
    <w:rsid w:val="00FA08C0"/>
    <w:rsid w:val="00FA246C"/>
    <w:rsid w:val="00FA2C9E"/>
    <w:rsid w:val="00FA2ED4"/>
    <w:rsid w:val="00FA400D"/>
    <w:rsid w:val="00FA404C"/>
    <w:rsid w:val="00FA49E4"/>
    <w:rsid w:val="00FA4AE2"/>
    <w:rsid w:val="00FA58CB"/>
    <w:rsid w:val="00FA6385"/>
    <w:rsid w:val="00FA67B7"/>
    <w:rsid w:val="00FA7A77"/>
    <w:rsid w:val="00FB00C0"/>
    <w:rsid w:val="00FB0210"/>
    <w:rsid w:val="00FB0B39"/>
    <w:rsid w:val="00FB0FF0"/>
    <w:rsid w:val="00FB132B"/>
    <w:rsid w:val="00FB1A5E"/>
    <w:rsid w:val="00FB1AA4"/>
    <w:rsid w:val="00FB1B89"/>
    <w:rsid w:val="00FB21F8"/>
    <w:rsid w:val="00FB23AD"/>
    <w:rsid w:val="00FB30C3"/>
    <w:rsid w:val="00FB4849"/>
    <w:rsid w:val="00FB527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2D"/>
    <w:rsid w:val="00FC7388"/>
    <w:rsid w:val="00FC7442"/>
    <w:rsid w:val="00FC7592"/>
    <w:rsid w:val="00FC7A86"/>
    <w:rsid w:val="00FC7B12"/>
    <w:rsid w:val="00FC7D03"/>
    <w:rsid w:val="00FD0857"/>
    <w:rsid w:val="00FD1C61"/>
    <w:rsid w:val="00FD2440"/>
    <w:rsid w:val="00FD3A25"/>
    <w:rsid w:val="00FD3C97"/>
    <w:rsid w:val="00FD3E68"/>
    <w:rsid w:val="00FD42CC"/>
    <w:rsid w:val="00FD48BC"/>
    <w:rsid w:val="00FD4A2B"/>
    <w:rsid w:val="00FD5855"/>
    <w:rsid w:val="00FD5D09"/>
    <w:rsid w:val="00FD691C"/>
    <w:rsid w:val="00FD6DA5"/>
    <w:rsid w:val="00FD7B5B"/>
    <w:rsid w:val="00FD7D6A"/>
    <w:rsid w:val="00FE084F"/>
    <w:rsid w:val="00FE0BDC"/>
    <w:rsid w:val="00FE0F01"/>
    <w:rsid w:val="00FE11EB"/>
    <w:rsid w:val="00FE1235"/>
    <w:rsid w:val="00FE184B"/>
    <w:rsid w:val="00FE1F3F"/>
    <w:rsid w:val="00FE3A77"/>
    <w:rsid w:val="00FE3D04"/>
    <w:rsid w:val="00FE3DA0"/>
    <w:rsid w:val="00FE4B58"/>
    <w:rsid w:val="00FE5A70"/>
    <w:rsid w:val="00FE699B"/>
    <w:rsid w:val="00FE6D7C"/>
    <w:rsid w:val="00FE6E67"/>
    <w:rsid w:val="00FE73C2"/>
    <w:rsid w:val="00FF0ABB"/>
    <w:rsid w:val="00FF0C34"/>
    <w:rsid w:val="00FF0F94"/>
    <w:rsid w:val="00FF1358"/>
    <w:rsid w:val="00FF13E6"/>
    <w:rsid w:val="00FF1822"/>
    <w:rsid w:val="00FF2371"/>
    <w:rsid w:val="00FF2771"/>
    <w:rsid w:val="00FF2822"/>
    <w:rsid w:val="00FF2D9C"/>
    <w:rsid w:val="00FF30D1"/>
    <w:rsid w:val="00FF3B8C"/>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79A673-10F3-4118-970D-F646EFEE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E0663"/>
    <w:rPr>
      <w:sz w:val="22"/>
      <w:lang w:eastAsia="en-US"/>
    </w:rPr>
  </w:style>
  <w:style w:type="character" w:customStyle="1" w:styleId="ui-provider">
    <w:name w:val="ui-provider"/>
    <w:basedOn w:val="DefaultParagraphFont"/>
    <w:rsid w:val="00BC5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024F3D4-36AB-4D79-A261-5B2E64B01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Configured Grant enhancements for XR</cp:keywords>
  <dc:description/>
  <cp:lastModifiedBy>Awad, Yassin</cp:lastModifiedBy>
  <cp:revision>137</cp:revision>
  <cp:lastPrinted>2022-11-03T14:10:00Z</cp:lastPrinted>
  <dcterms:created xsi:type="dcterms:W3CDTF">2023-04-04T11:04:00Z</dcterms:created>
  <dcterms:modified xsi:type="dcterms:W3CDTF">2023-05-11T15:06:00Z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